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21" w:rsidRPr="006E3221" w:rsidRDefault="001D0153" w:rsidP="00A86032">
      <w:pPr>
        <w:spacing w:line="360" w:lineRule="auto"/>
        <w:jc w:val="both"/>
        <w:rPr>
          <w:rFonts w:ascii="Liberation Serif" w:hAnsi="Liberation Serif" w:cs="Liberation Serif"/>
          <w:b/>
          <w:sz w:val="26"/>
          <w:szCs w:val="26"/>
          <w:u w:val="single"/>
        </w:rPr>
      </w:pPr>
      <w:r w:rsidRPr="006E3221">
        <w:rPr>
          <w:rFonts w:ascii="Liberation Serif" w:hAnsi="Liberation Serif" w:cs="Liberation Serif"/>
          <w:b/>
          <w:sz w:val="26"/>
          <w:szCs w:val="26"/>
          <w:u w:val="single"/>
        </w:rPr>
        <w:t>Aspectos a tener</w:t>
      </w:r>
      <w:r w:rsidR="006E3221" w:rsidRPr="006E3221">
        <w:rPr>
          <w:rFonts w:ascii="Liberation Serif" w:hAnsi="Liberation Serif" w:cs="Liberation Serif"/>
          <w:b/>
          <w:sz w:val="26"/>
          <w:szCs w:val="26"/>
          <w:u w:val="single"/>
        </w:rPr>
        <w:t xml:space="preserve"> en cuenta</w:t>
      </w:r>
      <w:r w:rsidRPr="006E3221">
        <w:rPr>
          <w:rFonts w:ascii="Liberation Serif" w:hAnsi="Liberation Serif" w:cs="Liberation Serif"/>
          <w:b/>
          <w:sz w:val="26"/>
          <w:szCs w:val="26"/>
          <w:u w:val="single"/>
        </w:rPr>
        <w:t xml:space="preserve"> </w:t>
      </w:r>
      <w:r w:rsidR="006E3221" w:rsidRPr="006E3221">
        <w:rPr>
          <w:rFonts w:ascii="Liberation Serif" w:hAnsi="Liberation Serif" w:cs="Liberation Serif"/>
          <w:b/>
          <w:sz w:val="26"/>
          <w:szCs w:val="26"/>
          <w:u w:val="single"/>
        </w:rPr>
        <w:t xml:space="preserve">al momento de analizar la reversión de una concesión de explotación hidrocarburífera. </w:t>
      </w:r>
    </w:p>
    <w:p w:rsidR="006E3221" w:rsidRDefault="006E3221" w:rsidP="006E3221">
      <w:pPr>
        <w:spacing w:after="0" w:line="36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ab/>
        <w:t xml:space="preserve">Lo primero que hay que tener en cuenta al momento de analizar la reversión de un área </w:t>
      </w:r>
      <w:r w:rsidR="00696DED">
        <w:rPr>
          <w:rFonts w:ascii="Liberation Serif" w:hAnsi="Liberation Serif" w:cs="Liberation Serif"/>
          <w:sz w:val="26"/>
          <w:szCs w:val="26"/>
        </w:rPr>
        <w:t>hidrocarburífera</w:t>
      </w:r>
      <w:r>
        <w:rPr>
          <w:rFonts w:ascii="Liberation Serif" w:hAnsi="Liberation Serif" w:cs="Liberation Serif"/>
          <w:sz w:val="26"/>
          <w:szCs w:val="26"/>
        </w:rPr>
        <w:t xml:space="preserve">, es </w:t>
      </w:r>
      <w:r w:rsidRPr="006E3221">
        <w:rPr>
          <w:rFonts w:ascii="Liberation Serif" w:hAnsi="Liberation Serif" w:cs="Liberation Serif"/>
          <w:sz w:val="26"/>
          <w:szCs w:val="26"/>
        </w:rPr>
        <w:t xml:space="preserve">lo que establece la Ley nacional Nº 17319 en su artículo 37, cuando regula que: </w:t>
      </w:r>
      <w:r>
        <w:rPr>
          <w:rFonts w:ascii="Liberation Serif" w:hAnsi="Liberation Serif" w:cs="Liberation Serif"/>
          <w:sz w:val="26"/>
          <w:szCs w:val="26"/>
        </w:rPr>
        <w:t>“</w:t>
      </w:r>
      <w:r w:rsidRPr="006E3221">
        <w:rPr>
          <w:rFonts w:ascii="Liberation Serif" w:hAnsi="Liberation Serif" w:cs="Liberation Serif"/>
          <w:i/>
          <w:spacing w:val="-3"/>
          <w:sz w:val="26"/>
          <w:szCs w:val="26"/>
          <w:shd w:val="clear" w:color="auto" w:fill="FFFFFF"/>
        </w:rPr>
        <w:t>La reversión total o parcial al Estado de uno o más lotes de una concesión de explotación comportará la transferencia a su favor, sin cargo alguno, de pleno derecho y libre de todo gravamen de los pozos respectivos con los equipos e instalaciones normales para su operación y mantenimiento y de las construcciones y obras fijas o móviles incorporadas en forma permanente al proceso de explotación en la zona de la concesión. Se excluyen de la reversión al Estado los equipos móviles no vinculados exclusivamente a la producción del yacimiento y todas las demás instalaciones relacionadas al ejercicio por el concesionario de los derechos de industrialización y comercialización que le atribuye el artículo 6º o de otros derechos subsistentes</w:t>
      </w:r>
      <w:r>
        <w:rPr>
          <w:rFonts w:ascii="Liberation Serif" w:hAnsi="Liberation Serif" w:cs="Liberation Serif"/>
          <w:spacing w:val="-3"/>
          <w:sz w:val="26"/>
          <w:szCs w:val="26"/>
          <w:shd w:val="clear" w:color="auto" w:fill="FFFFFF"/>
        </w:rPr>
        <w:t>”</w:t>
      </w:r>
      <w:r w:rsidRPr="006E3221">
        <w:rPr>
          <w:rFonts w:ascii="Liberation Serif" w:hAnsi="Liberation Serif" w:cs="Liberation Serif"/>
          <w:spacing w:val="-3"/>
          <w:sz w:val="26"/>
          <w:szCs w:val="26"/>
          <w:shd w:val="clear" w:color="auto" w:fill="FFFFFF"/>
        </w:rPr>
        <w:t>.</w:t>
      </w:r>
      <w:r w:rsidRPr="006E322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CF5" w:rsidRDefault="00FD5CF5" w:rsidP="006E3221">
      <w:pPr>
        <w:spacing w:after="0" w:line="36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En este sentido, se aconseja tomar como referencia a la Provincia de Chubut y Neuquén, que presentan la mayor legislación hidrocarburífera de todas </w:t>
      </w:r>
      <w:r w:rsidR="00696DED">
        <w:rPr>
          <w:rFonts w:ascii="Liberation Serif" w:hAnsi="Liberation Serif" w:cs="Liberation Serif"/>
          <w:sz w:val="26"/>
          <w:szCs w:val="26"/>
        </w:rPr>
        <w:t xml:space="preserve">las provincias </w:t>
      </w:r>
      <w:r>
        <w:rPr>
          <w:rFonts w:ascii="Liberation Serif" w:hAnsi="Liberation Serif" w:cs="Liberation Serif"/>
          <w:sz w:val="26"/>
          <w:szCs w:val="26"/>
        </w:rPr>
        <w:t>que forman parte de OFEPHI.</w:t>
      </w:r>
    </w:p>
    <w:p w:rsidR="00FD5CF5" w:rsidRDefault="00FD5CF5" w:rsidP="006E3221">
      <w:pPr>
        <w:spacing w:after="0" w:line="36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ab/>
        <w:t xml:space="preserve">Allí, se establece que al momento de que se produce una reversión total o parcial de uno a más lotes de una concesión de explotación, la concesionaria deberá entregar a la autoridad de aplicación, un </w:t>
      </w:r>
      <w:r w:rsidRPr="00FD5CF5">
        <w:rPr>
          <w:rFonts w:ascii="Liberation Serif" w:hAnsi="Liberation Serif" w:cs="Liberation Serif"/>
          <w:b/>
          <w:sz w:val="26"/>
          <w:szCs w:val="26"/>
          <w:u w:val="single"/>
        </w:rPr>
        <w:t>inventario</w:t>
      </w:r>
      <w:r>
        <w:rPr>
          <w:rFonts w:ascii="Liberation Serif" w:hAnsi="Liberation Serif" w:cs="Liberation Serif"/>
          <w:sz w:val="26"/>
          <w:szCs w:val="26"/>
        </w:rPr>
        <w:t xml:space="preserve"> (por escritura pública) de todos los materiales e instalaciones, los cuales deberán ser entregados en condiciones operativas óptimas, de tal </w:t>
      </w:r>
      <w:r w:rsidR="00696DED">
        <w:rPr>
          <w:rFonts w:ascii="Liberation Serif" w:hAnsi="Liberation Serif" w:cs="Liberation Serif"/>
          <w:sz w:val="26"/>
          <w:szCs w:val="26"/>
        </w:rPr>
        <w:t>fo</w:t>
      </w:r>
      <w:r>
        <w:rPr>
          <w:rFonts w:ascii="Liberation Serif" w:hAnsi="Liberation Serif" w:cs="Liberation Serif"/>
          <w:sz w:val="26"/>
          <w:szCs w:val="26"/>
        </w:rPr>
        <w:t xml:space="preserve">rma de poder continuar con la explotación de los yacimientos. </w:t>
      </w:r>
    </w:p>
    <w:p w:rsidR="00FD5CF5" w:rsidRDefault="00FD5CF5" w:rsidP="006E3221">
      <w:pPr>
        <w:spacing w:after="0" w:line="36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Asimismo, la concesionaria debe garantizar por seis (6) meses el normal uso de las instalaciones revertidas, las cuales en caso de necesitar reparaciones o actualizaciones o que ocurra cualquier incidencia sobre el normal desenvolvimiento de las instalaciones para su funcionamiento, correrán por cuenta de la concesionaria. A ese efecto, se contrata un seguro de caución.  </w:t>
      </w:r>
    </w:p>
    <w:p w:rsidR="008377EC" w:rsidRDefault="00696DED" w:rsidP="00FA280D">
      <w:pPr>
        <w:spacing w:after="0" w:line="36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ab/>
        <w:t xml:space="preserve">Por otro lado, se deberán cumplir las normas y procedimientos establecidos en la Resolución de la ex </w:t>
      </w:r>
      <w:r w:rsidRPr="00696DED">
        <w:rPr>
          <w:rFonts w:ascii="Liberation Serif" w:hAnsi="Liberation Serif" w:cs="Liberation Serif"/>
          <w:sz w:val="26"/>
          <w:szCs w:val="26"/>
        </w:rPr>
        <w:t xml:space="preserve">Secretaría de Energía, Transporte y Comunicaciones        Nº 5/96. </w:t>
      </w:r>
      <w:bookmarkStart w:id="0" w:name="_GoBack"/>
      <w:bookmarkEnd w:id="0"/>
      <w:r w:rsidRPr="00696DED">
        <w:rPr>
          <w:rFonts w:ascii="Liberation Serif" w:hAnsi="Liberation Serif" w:cs="Liberation Serif"/>
          <w:b/>
          <w:sz w:val="26"/>
          <w:szCs w:val="26"/>
          <w:u w:val="single"/>
        </w:rPr>
        <w:t>Importante:</w:t>
      </w:r>
      <w:r w:rsidRPr="00696DED">
        <w:rPr>
          <w:rFonts w:ascii="Liberation Serif" w:hAnsi="Liberation Serif" w:cs="Liberation Serif"/>
          <w:sz w:val="26"/>
          <w:szCs w:val="26"/>
        </w:rPr>
        <w:t xml:space="preserve"> Se deberá exigir que se presente el informe </w:t>
      </w:r>
      <w:r>
        <w:rPr>
          <w:rFonts w:ascii="Liberation Serif" w:hAnsi="Liberation Serif" w:cs="Liberation Serif"/>
          <w:sz w:val="26"/>
          <w:szCs w:val="26"/>
        </w:rPr>
        <w:t xml:space="preserve">que </w:t>
      </w:r>
      <w:r w:rsidRPr="00696DED">
        <w:rPr>
          <w:rFonts w:ascii="Liberation Serif" w:hAnsi="Liberation Serif" w:cs="Liberation Serif"/>
          <w:sz w:val="26"/>
          <w:szCs w:val="26"/>
        </w:rPr>
        <w:t>se nombra en el Anexo I, Capítulo I, punto 4</w:t>
      </w:r>
      <w:r>
        <w:rPr>
          <w:rFonts w:ascii="Liberation Serif" w:hAnsi="Liberation Serif" w:cs="Liberation Serif"/>
          <w:sz w:val="26"/>
          <w:szCs w:val="26"/>
        </w:rPr>
        <w:t xml:space="preserve"> de dicha normativa</w:t>
      </w:r>
      <w:r w:rsidRPr="00696DED">
        <w:rPr>
          <w:rFonts w:ascii="Liberation Serif" w:hAnsi="Liberation Serif" w:cs="Liberation Serif"/>
          <w:sz w:val="26"/>
          <w:szCs w:val="26"/>
        </w:rPr>
        <w:t>, a saber: “</w:t>
      </w:r>
      <w:r w:rsidRPr="00696DED">
        <w:rPr>
          <w:rFonts w:ascii="Liberation Serif" w:hAnsi="Liberation Serif" w:cs="Liberation Serif"/>
          <w:i/>
          <w:color w:val="333333"/>
          <w:spacing w:val="-3"/>
          <w:sz w:val="26"/>
          <w:szCs w:val="26"/>
          <w:shd w:val="clear" w:color="auto" w:fill="FFFFFF"/>
        </w:rPr>
        <w:t>CUATRO (4) años antes de expirar una concesión de explotación, o al momento de producirse la reversión total o parcial de un área de exploración, el concesionario o permisionario presentará a la Autoridad de Aplicación, un estudio técnico-económico donde fundamente las razones por las cuales no resulta conveniente el abandono definitivo o temporario, de cada uno de los pozos inactivos existentes en el área a entregar</w:t>
      </w:r>
      <w:r w:rsidRPr="00696DED">
        <w:rPr>
          <w:rFonts w:ascii="Liberation Serif" w:hAnsi="Liberation Serif" w:cs="Liberation Serif"/>
          <w:color w:val="333333"/>
          <w:spacing w:val="-3"/>
          <w:sz w:val="26"/>
          <w:szCs w:val="26"/>
          <w:shd w:val="clear" w:color="auto" w:fill="FFFFFF"/>
        </w:rPr>
        <w:t>”.</w:t>
      </w:r>
      <w:r w:rsidRPr="00696DED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FA280D" w:rsidRPr="008377EC" w:rsidRDefault="00CE1219" w:rsidP="008377EC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222222"/>
          <w:sz w:val="26"/>
          <w:szCs w:val="26"/>
          <w:shd w:val="clear" w:color="auto" w:fill="FFFFFF"/>
        </w:rPr>
        <w:t xml:space="preserve">Como puede observarse, en los casos de reversión, resulta de suma importancia la cuestión ambiental. </w:t>
      </w:r>
      <w:r w:rsidR="00CE7F97">
        <w:rPr>
          <w:rFonts w:ascii="Liberation Serif" w:hAnsi="Liberation Serif" w:cs="Liberation Serif"/>
          <w:color w:val="222222"/>
          <w:sz w:val="26"/>
          <w:szCs w:val="26"/>
          <w:shd w:val="clear" w:color="auto" w:fill="FFFFFF"/>
        </w:rPr>
        <w:t xml:space="preserve">Respecto a la </w:t>
      </w:r>
      <w:r w:rsidR="00CE7F97" w:rsidRPr="00CE1219">
        <w:rPr>
          <w:rFonts w:ascii="Liberation Serif" w:hAnsi="Liberation Serif" w:cs="Liberation Serif"/>
          <w:b/>
          <w:color w:val="222222"/>
          <w:sz w:val="26"/>
          <w:szCs w:val="26"/>
          <w:u w:val="single"/>
          <w:shd w:val="clear" w:color="auto" w:fill="FFFFFF"/>
        </w:rPr>
        <w:t xml:space="preserve">normativa aplicable </w:t>
      </w:r>
      <w:r w:rsidR="00FA280D" w:rsidRPr="00CE1219">
        <w:rPr>
          <w:rFonts w:ascii="Liberation Serif" w:hAnsi="Liberation Serif" w:cs="Liberation Serif"/>
          <w:b/>
          <w:color w:val="222222"/>
          <w:sz w:val="26"/>
          <w:szCs w:val="26"/>
          <w:u w:val="single"/>
          <w:shd w:val="clear" w:color="auto" w:fill="FFFFFF"/>
        </w:rPr>
        <w:t>en la provincia</w:t>
      </w:r>
      <w:r w:rsidR="001A1A56">
        <w:rPr>
          <w:rFonts w:ascii="Liberation Serif" w:hAnsi="Liberation Serif" w:cs="Liberation Serif"/>
          <w:color w:val="222222"/>
          <w:sz w:val="26"/>
          <w:szCs w:val="26"/>
          <w:shd w:val="clear" w:color="auto" w:fill="FFFFFF"/>
        </w:rPr>
        <w:t xml:space="preserve">, </w:t>
      </w:r>
      <w:r w:rsidR="008377EC">
        <w:rPr>
          <w:rFonts w:ascii="Liberation Serif" w:hAnsi="Liberation Serif" w:cs="Liberation Serif"/>
          <w:color w:val="222222"/>
          <w:sz w:val="26"/>
          <w:szCs w:val="26"/>
          <w:shd w:val="clear" w:color="auto" w:fill="FFFFFF"/>
        </w:rPr>
        <w:t xml:space="preserve">que deberá ser considera en este caso, </w:t>
      </w:r>
      <w:r w:rsidR="00FA280D">
        <w:rPr>
          <w:rFonts w:ascii="Liberation Serif" w:hAnsi="Liberation Serif" w:cs="Liberation Serif"/>
          <w:color w:val="222222"/>
          <w:sz w:val="26"/>
          <w:szCs w:val="26"/>
          <w:shd w:val="clear" w:color="auto" w:fill="FFFFFF"/>
        </w:rPr>
        <w:t xml:space="preserve">podemos indicar la siguiente: </w:t>
      </w:r>
    </w:p>
    <w:p w:rsidR="005D6C39" w:rsidRDefault="008377EC" w:rsidP="005D6C39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</w:pPr>
      <w:r>
        <w:rPr>
          <w:rFonts w:ascii="Liberation Serif" w:hAnsi="Liberation Serif" w:cs="Liberation Serif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222222"/>
          <w:sz w:val="26"/>
          <w:szCs w:val="26"/>
          <w:shd w:val="clear" w:color="auto" w:fill="FFFFFF"/>
        </w:rPr>
        <w:tab/>
      </w:r>
      <w:r w:rsidR="00FA280D">
        <w:rPr>
          <w:rFonts w:ascii="Liberation Serif" w:hAnsi="Liberation Serif" w:cs="Liberation Serif"/>
          <w:color w:val="222222"/>
          <w:sz w:val="26"/>
          <w:szCs w:val="26"/>
          <w:shd w:val="clear" w:color="auto" w:fill="FFFFFF"/>
        </w:rPr>
        <w:t xml:space="preserve">a)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En relación </w:t>
      </w:r>
      <w:r w:rsidR="001A1A56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con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la prote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c</w:t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ción ambiental de los recursos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, puede mencionarse a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la Ley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provincial Nº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55 reglamentada por el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Decreto provincial </w:t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      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Nº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1333/93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,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que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tiene por objeto la preservación, conservación, defensa y mejoramiento del medio ambiente de la provincia, estableciendo sus principios rectores a los fines de perpetuar los ecosistemas existentes en su territorio, como patrimonio común de todas las generaciones, debiendo asegurar la conservación de la calidad ambiental, la diversidad biológica y sus recursos escénicos. Anexo VI: Normas de Protección Ambiental durante las operaciones de exploración y explotación de hidrocarburos (Replica Resolución SE 105/92).</w:t>
      </w:r>
    </w:p>
    <w:p w:rsidR="005D6C39" w:rsidRDefault="008377EC" w:rsidP="005D6C39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</w:pP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</w:t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ab/>
      </w:r>
      <w:r w:rsidR="00CE121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b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)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La Ley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provincial Nº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105 regula la generación, manipulación, transporte, tratamiento y disposición final de residuos peligrosos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que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quedarán cuando se tratare de residuos generados o ubicados en lugares sometidos a jurisdicción provincial. Obligación de inscribirse en el registro y cumplimentar con el pago de la tasa de evaluación y fiscalización establecida mediante artículo 16° de la citada norma provin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cial y Resolución. </w:t>
      </w:r>
      <w:proofErr w:type="spellStart"/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S.D.S.y</w:t>
      </w:r>
      <w:proofErr w:type="spellEnd"/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A. Nº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401/12.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br/>
        <w:t xml:space="preserve">La Resolución 113/05 de la Subsecretaría de Recursos Naturales establece por su parte, que los residuos constituidos por aguas residuales con hidrocarburos, aceites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lastRenderedPageBreak/>
        <w:t xml:space="preserve">de sentina e hidrocarburos residuales generados en buques, que sean </w:t>
      </w:r>
      <w:proofErr w:type="spellStart"/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recepcionados</w:t>
      </w:r>
      <w:proofErr w:type="spellEnd"/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en puerto, deberán ser sometidos dentro del territorio provincial al manejo, tratamiento y/o disposición final establecidos por la Ley Provincial N° 105 para los desechos con estas características.</w:t>
      </w:r>
    </w:p>
    <w:p w:rsidR="005D6C39" w:rsidRDefault="00CE1219" w:rsidP="005D6C39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</w:pP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</w:t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ab/>
        <w:t>c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)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La Ley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provincial Nº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176 prohíbe toda actividad de acercamiento a cualquier especie de mamífero marino y zonas de nidificación de aves en las costas y mar de jurisdicción provincial durante todo el año calendario, sin autorización de la autoridad de aplicación.</w:t>
      </w:r>
    </w:p>
    <w:p w:rsidR="005D6C39" w:rsidRDefault="00CE1219" w:rsidP="005D6C39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</w:pP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</w:t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ab/>
        <w:t>d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)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La Ley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provincial Nº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237 prohíbe a las reparticiones estatales, entidades públicas y privadas y particulares, la descarga de efluentes residuales sólidos, líquidos o gaseosos, de cualquier origen, a la atmósfera, canalizaciones, acequias, ríos y toda otra fuente, curso o receptor de agua, superficial o subterránea, o marino que signifique contaminación del aire o de las aguas, sin previo tratamiento de depuración o neutralización, que los convierta en inocuos e inofensivos para la salud de la población, flora, fauna, terrestre y/o marina.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br/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</w:t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ab/>
        <w:t>e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)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La Ley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provincial Nº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272 crea el Sistema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Provincial de Áreas Protegidas.</w:t>
      </w:r>
    </w:p>
    <w:p w:rsidR="005D6C39" w:rsidRDefault="00CE1219" w:rsidP="005D6C39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</w:pP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</w:t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ab/>
        <w:t>f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)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La Ley 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provincial Nº 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396 prohíbe en todo el ámbito del Territorio Nacional de la Tierra del Fuego, Antártida e Isla del Atlántico Sur, la recepción, el depósito, el procesamiento, la utilización y/o la distribución de cualquier tipo de materiales, elementos, sustancias y productos procesados o no que configuren riesgo presente o futuro para la salud y la vida de las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personas, la fauna y la flora.</w:t>
      </w:r>
    </w:p>
    <w:p w:rsidR="00FA280D" w:rsidRDefault="00CE1219" w:rsidP="005D6C39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</w:pP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 </w:t>
      </w: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ab/>
        <w:t>g</w:t>
      </w:r>
      <w:r w:rsidR="005D6C39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 xml:space="preserve">) </w:t>
      </w:r>
      <w:r w:rsidR="00F0114E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L</w:t>
      </w:r>
      <w:r w:rsidR="00FA280D" w:rsidRPr="00FA280D"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>a Ley Provincial 610 especifica los permisos que debe obtener la plataforma, aunque no contempla especificaciones de tipo técnico o ambiental.</w:t>
      </w:r>
    </w:p>
    <w:p w:rsidR="00CE1219" w:rsidRPr="00E330A7" w:rsidRDefault="00CE1219" w:rsidP="00CE1219">
      <w:pPr>
        <w:spacing w:after="0" w:line="36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color w:val="222222"/>
          <w:sz w:val="26"/>
          <w:szCs w:val="26"/>
          <w:shd w:val="clear" w:color="auto" w:fill="FFFFFF"/>
          <w:lang w:eastAsia="es-AR"/>
        </w:rPr>
        <w:tab/>
      </w:r>
    </w:p>
    <w:p w:rsidR="001A1A56" w:rsidRPr="00E330A7" w:rsidRDefault="001A1A56" w:rsidP="007E0722">
      <w:pPr>
        <w:spacing w:line="360" w:lineRule="auto"/>
        <w:jc w:val="both"/>
        <w:rPr>
          <w:rFonts w:ascii="Liberation Serif" w:hAnsi="Liberation Serif" w:cs="Liberation Serif"/>
          <w:sz w:val="26"/>
          <w:szCs w:val="26"/>
        </w:rPr>
      </w:pPr>
    </w:p>
    <w:sectPr w:rsidR="001A1A56" w:rsidRPr="00E330A7" w:rsidSect="005E286B">
      <w:pgSz w:w="12240" w:h="15840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D6F"/>
    <w:multiLevelType w:val="hybridMultilevel"/>
    <w:tmpl w:val="E084D626"/>
    <w:lvl w:ilvl="0" w:tplc="7C8A17B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A0810BE"/>
    <w:multiLevelType w:val="hybridMultilevel"/>
    <w:tmpl w:val="1D523AAA"/>
    <w:lvl w:ilvl="0" w:tplc="3FFAA8E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134061B"/>
    <w:multiLevelType w:val="hybridMultilevel"/>
    <w:tmpl w:val="68F285EE"/>
    <w:lvl w:ilvl="0" w:tplc="32BCAE7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9927D9B"/>
    <w:multiLevelType w:val="hybridMultilevel"/>
    <w:tmpl w:val="F98CF8C4"/>
    <w:lvl w:ilvl="0" w:tplc="78B8C82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DC464AC"/>
    <w:multiLevelType w:val="hybridMultilevel"/>
    <w:tmpl w:val="D80CEE74"/>
    <w:lvl w:ilvl="0" w:tplc="5CC8BB1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06974F5"/>
    <w:multiLevelType w:val="hybridMultilevel"/>
    <w:tmpl w:val="B5DA15D0"/>
    <w:lvl w:ilvl="0" w:tplc="22CE934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3152F97"/>
    <w:multiLevelType w:val="hybridMultilevel"/>
    <w:tmpl w:val="B6AA47E4"/>
    <w:lvl w:ilvl="0" w:tplc="CB28560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64917C0"/>
    <w:multiLevelType w:val="hybridMultilevel"/>
    <w:tmpl w:val="4D4CF0C8"/>
    <w:lvl w:ilvl="0" w:tplc="A3D24E4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71E1C9F"/>
    <w:multiLevelType w:val="hybridMultilevel"/>
    <w:tmpl w:val="A4F4B8B6"/>
    <w:lvl w:ilvl="0" w:tplc="323699B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89115FD"/>
    <w:multiLevelType w:val="hybridMultilevel"/>
    <w:tmpl w:val="0938FAB2"/>
    <w:lvl w:ilvl="0" w:tplc="717AF2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5AE833D0"/>
    <w:multiLevelType w:val="hybridMultilevel"/>
    <w:tmpl w:val="537882EA"/>
    <w:lvl w:ilvl="0" w:tplc="41E6A8C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C8768EA"/>
    <w:multiLevelType w:val="hybridMultilevel"/>
    <w:tmpl w:val="0F825A92"/>
    <w:lvl w:ilvl="0" w:tplc="5E1E270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5E9E133C"/>
    <w:multiLevelType w:val="hybridMultilevel"/>
    <w:tmpl w:val="FF52B6FE"/>
    <w:lvl w:ilvl="0" w:tplc="403EEC7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F2D1E46"/>
    <w:multiLevelType w:val="hybridMultilevel"/>
    <w:tmpl w:val="5EB80CD6"/>
    <w:lvl w:ilvl="0" w:tplc="B51229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5AF2ADF"/>
    <w:multiLevelType w:val="hybridMultilevel"/>
    <w:tmpl w:val="F2821F50"/>
    <w:lvl w:ilvl="0" w:tplc="B7F6E0F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0B2290E"/>
    <w:multiLevelType w:val="hybridMultilevel"/>
    <w:tmpl w:val="24D0960A"/>
    <w:lvl w:ilvl="0" w:tplc="B4A0EB9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33A4055"/>
    <w:multiLevelType w:val="hybridMultilevel"/>
    <w:tmpl w:val="C34A64F6"/>
    <w:lvl w:ilvl="0" w:tplc="88523A7A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EF54FAE"/>
    <w:multiLevelType w:val="hybridMultilevel"/>
    <w:tmpl w:val="C5DE60A6"/>
    <w:lvl w:ilvl="0" w:tplc="8402E85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3"/>
  </w:num>
  <w:num w:numId="9">
    <w:abstractNumId w:val="6"/>
  </w:num>
  <w:num w:numId="10">
    <w:abstractNumId w:val="14"/>
  </w:num>
  <w:num w:numId="11">
    <w:abstractNumId w:val="0"/>
  </w:num>
  <w:num w:numId="12">
    <w:abstractNumId w:val="5"/>
  </w:num>
  <w:num w:numId="13">
    <w:abstractNumId w:val="8"/>
  </w:num>
  <w:num w:numId="14">
    <w:abstractNumId w:val="7"/>
  </w:num>
  <w:num w:numId="15">
    <w:abstractNumId w:val="12"/>
  </w:num>
  <w:num w:numId="16">
    <w:abstractNumId w:val="2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A5"/>
    <w:rsid w:val="00036FBF"/>
    <w:rsid w:val="0006267C"/>
    <w:rsid w:val="000D322F"/>
    <w:rsid w:val="00135AA5"/>
    <w:rsid w:val="00143D69"/>
    <w:rsid w:val="001A1A56"/>
    <w:rsid w:val="001C48C5"/>
    <w:rsid w:val="001D0153"/>
    <w:rsid w:val="0028719C"/>
    <w:rsid w:val="002E0705"/>
    <w:rsid w:val="002E2492"/>
    <w:rsid w:val="002E4B45"/>
    <w:rsid w:val="00321B26"/>
    <w:rsid w:val="003222B1"/>
    <w:rsid w:val="003616BC"/>
    <w:rsid w:val="00372B33"/>
    <w:rsid w:val="00391536"/>
    <w:rsid w:val="003A2E35"/>
    <w:rsid w:val="003C34E1"/>
    <w:rsid w:val="003D0AFB"/>
    <w:rsid w:val="003D380B"/>
    <w:rsid w:val="00417031"/>
    <w:rsid w:val="00456E01"/>
    <w:rsid w:val="00477967"/>
    <w:rsid w:val="00503585"/>
    <w:rsid w:val="005216BB"/>
    <w:rsid w:val="00562F67"/>
    <w:rsid w:val="005D6C39"/>
    <w:rsid w:val="005E286B"/>
    <w:rsid w:val="005F0ABB"/>
    <w:rsid w:val="006130A4"/>
    <w:rsid w:val="00696DED"/>
    <w:rsid w:val="006E3221"/>
    <w:rsid w:val="007065BF"/>
    <w:rsid w:val="00712FDF"/>
    <w:rsid w:val="00763716"/>
    <w:rsid w:val="007711A4"/>
    <w:rsid w:val="007841E3"/>
    <w:rsid w:val="007E0722"/>
    <w:rsid w:val="007F26F4"/>
    <w:rsid w:val="008377EC"/>
    <w:rsid w:val="00872B71"/>
    <w:rsid w:val="008B6F72"/>
    <w:rsid w:val="009048A5"/>
    <w:rsid w:val="00922C49"/>
    <w:rsid w:val="0093278B"/>
    <w:rsid w:val="00935B22"/>
    <w:rsid w:val="009B0E7B"/>
    <w:rsid w:val="009C3E88"/>
    <w:rsid w:val="009C456E"/>
    <w:rsid w:val="00A711F2"/>
    <w:rsid w:val="00A86032"/>
    <w:rsid w:val="00AA13C4"/>
    <w:rsid w:val="00B15D3A"/>
    <w:rsid w:val="00B5616B"/>
    <w:rsid w:val="00B938A4"/>
    <w:rsid w:val="00C551D4"/>
    <w:rsid w:val="00C65A1B"/>
    <w:rsid w:val="00C7489F"/>
    <w:rsid w:val="00CC6831"/>
    <w:rsid w:val="00CE1219"/>
    <w:rsid w:val="00CE7F97"/>
    <w:rsid w:val="00D537EE"/>
    <w:rsid w:val="00DF6FBE"/>
    <w:rsid w:val="00E25AEB"/>
    <w:rsid w:val="00E330A7"/>
    <w:rsid w:val="00E354AC"/>
    <w:rsid w:val="00ED0CF9"/>
    <w:rsid w:val="00F0114E"/>
    <w:rsid w:val="00F376F2"/>
    <w:rsid w:val="00F435B7"/>
    <w:rsid w:val="00F45A4D"/>
    <w:rsid w:val="00F67606"/>
    <w:rsid w:val="00FA280D"/>
    <w:rsid w:val="00FD5CF5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22A3E"/>
  <w15:chartTrackingRefBased/>
  <w15:docId w15:val="{DD5E7F18-2E4C-4275-87E5-B0D9AED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FB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5D3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6032"/>
    <w:rPr>
      <w:color w:val="954F72" w:themeColor="followedHyperlink"/>
      <w:u w:val="single"/>
    </w:rPr>
  </w:style>
  <w:style w:type="paragraph" w:customStyle="1" w:styleId="western">
    <w:name w:val="western"/>
    <w:basedOn w:val="Normal"/>
    <w:rsid w:val="00E25AEB"/>
    <w:pPr>
      <w:spacing w:before="100" w:beforeAutospacing="1" w:after="119" w:line="360" w:lineRule="auto"/>
      <w:ind w:firstLine="1134"/>
      <w:jc w:val="both"/>
    </w:pPr>
    <w:rPr>
      <w:rFonts w:ascii="Liberation Serif" w:eastAsia="Times New Roman" w:hAnsi="Liberation Serif" w:cs="Liberation Serif"/>
      <w:sz w:val="26"/>
      <w:szCs w:val="26"/>
      <w:lang w:eastAsia="es-AR"/>
    </w:rPr>
  </w:style>
  <w:style w:type="paragraph" w:styleId="NormalWeb">
    <w:name w:val="Normal (Web)"/>
    <w:basedOn w:val="Normal"/>
    <w:uiPriority w:val="99"/>
    <w:unhideWhenUsed/>
    <w:rsid w:val="003C34E1"/>
    <w:pPr>
      <w:spacing w:before="100" w:beforeAutospacing="1" w:after="119" w:line="36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86B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1F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AC24-509E-45B1-B6DB-0C837748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3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mduarte</dc:creator>
  <cp:keywords/>
  <dc:description/>
  <cp:lastModifiedBy>ANDEREGGEN Federico</cp:lastModifiedBy>
  <cp:revision>4</cp:revision>
  <cp:lastPrinted>2024-03-22T18:27:00Z</cp:lastPrinted>
  <dcterms:created xsi:type="dcterms:W3CDTF">2024-03-22T17:05:00Z</dcterms:created>
  <dcterms:modified xsi:type="dcterms:W3CDTF">2024-03-25T18:30:00Z</dcterms:modified>
</cp:coreProperties>
</file>