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0F81" w:rsidRDefault="003D0DA9">
      <w:pPr>
        <w:jc w:val="both"/>
        <w:rPr>
          <w:b/>
          <w:sz w:val="26"/>
          <w:szCs w:val="26"/>
          <w:u w:val="single"/>
        </w:rPr>
      </w:pPr>
      <w:bookmarkStart w:id="0" w:name="_d8uc4ufsv7o3" w:colFirst="0" w:colLast="0"/>
      <w:bookmarkEnd w:id="0"/>
      <w:r>
        <w:rPr>
          <w:b/>
          <w:sz w:val="26"/>
          <w:szCs w:val="26"/>
          <w:u w:val="single"/>
        </w:rPr>
        <w:t>Energía &amp; Hidrocarburos - Tierra del Fuego</w:t>
      </w:r>
    </w:p>
    <w:p w14:paraId="00000002" w14:textId="77777777" w:rsidR="00CF0F81" w:rsidRDefault="003D0DA9">
      <w:pPr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Escenarios en materia de energía e hidrocarburos para la provincia con motivo de la estrategia de YPF S.A. de retirarse de la explotación de los yacimientos maduros convencionales (</w:t>
      </w:r>
      <w:proofErr w:type="spellStart"/>
      <w:r>
        <w:rPr>
          <w:sz w:val="24"/>
          <w:szCs w:val="24"/>
        </w:rPr>
        <w:t>upstream</w:t>
      </w:r>
      <w:proofErr w:type="spellEnd"/>
      <w:r>
        <w:rPr>
          <w:sz w:val="24"/>
          <w:szCs w:val="24"/>
        </w:rPr>
        <w:t xml:space="preserve">). Efectos sobre las áreas </w:t>
      </w:r>
      <w:proofErr w:type="spellStart"/>
      <w:r>
        <w:rPr>
          <w:sz w:val="24"/>
          <w:szCs w:val="24"/>
        </w:rPr>
        <w:t>hidrocarburíferas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onshore</w:t>
      </w:r>
      <w:proofErr w:type="spellEnd"/>
      <w:r>
        <w:rPr>
          <w:sz w:val="24"/>
          <w:szCs w:val="24"/>
        </w:rPr>
        <w:t xml:space="preserve"> y offshore) s</w:t>
      </w:r>
      <w:r>
        <w:rPr>
          <w:sz w:val="24"/>
          <w:szCs w:val="24"/>
        </w:rPr>
        <w:t>ujetas a jurisdicción provincial.</w:t>
      </w:r>
    </w:p>
    <w:p w14:paraId="00000003" w14:textId="77777777" w:rsidR="00CF0F81" w:rsidRDefault="003D0DA9">
      <w:pPr>
        <w:jc w:val="both"/>
        <w:rPr>
          <w:sz w:val="24"/>
          <w:szCs w:val="24"/>
        </w:rPr>
      </w:pPr>
      <w:bookmarkStart w:id="2" w:name="_pjb29y3ugp8z" w:colFirst="0" w:colLast="0"/>
      <w:bookmarkEnd w:id="2"/>
      <w:r>
        <w:rPr>
          <w:sz w:val="24"/>
          <w:szCs w:val="24"/>
        </w:rPr>
        <w:t>Detalle de las áreas provinciales concesionadas a YPF S.A.:</w:t>
      </w:r>
    </w:p>
    <w:p w14:paraId="00000004" w14:textId="77777777" w:rsidR="00CF0F81" w:rsidRDefault="003D0DA9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Offshore</w:t>
      </w:r>
      <w:r>
        <w:rPr>
          <w:sz w:val="24"/>
          <w:szCs w:val="24"/>
        </w:rPr>
        <w:t xml:space="preserve">: </w:t>
      </w:r>
    </w:p>
    <w:p w14:paraId="00000005" w14:textId="77777777" w:rsidR="00CF0F81" w:rsidRDefault="003D0DA9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Magallanes</w:t>
      </w:r>
      <w:r>
        <w:rPr>
          <w:sz w:val="24"/>
          <w:szCs w:val="24"/>
        </w:rPr>
        <w:t xml:space="preserve">: Concesionario YPF SA (100%) Operador: </w:t>
      </w:r>
      <w:proofErr w:type="spellStart"/>
      <w:r>
        <w:rPr>
          <w:sz w:val="24"/>
          <w:szCs w:val="24"/>
        </w:rPr>
        <w:t>Enap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Sipetrol</w:t>
      </w:r>
      <w:proofErr w:type="spellEnd"/>
      <w:r>
        <w:rPr>
          <w:sz w:val="24"/>
          <w:szCs w:val="24"/>
        </w:rPr>
        <w:t xml:space="preserve"> SA -   Vto.      14.11.2027 (369 km2)</w:t>
      </w:r>
    </w:p>
    <w:p w14:paraId="00000006" w14:textId="77777777" w:rsidR="00CF0F81" w:rsidRDefault="003D0DA9">
      <w:pPr>
        <w:ind w:left="708" w:hanging="15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Poseidón</w:t>
      </w:r>
      <w:r>
        <w:rPr>
          <w:sz w:val="24"/>
          <w:szCs w:val="24"/>
        </w:rPr>
        <w:t xml:space="preserve">: Concesionarios: </w:t>
      </w:r>
      <w:proofErr w:type="spellStart"/>
      <w:r>
        <w:rPr>
          <w:sz w:val="24"/>
          <w:szCs w:val="24"/>
        </w:rPr>
        <w:t>Sipetrol</w:t>
      </w:r>
      <w:proofErr w:type="spellEnd"/>
      <w:r>
        <w:rPr>
          <w:sz w:val="24"/>
          <w:szCs w:val="24"/>
        </w:rPr>
        <w:t xml:space="preserve"> e YPF SA (5</w:t>
      </w:r>
      <w:r>
        <w:rPr>
          <w:sz w:val="24"/>
          <w:szCs w:val="24"/>
        </w:rPr>
        <w:t>0 % cada uno) - Vto. Revertida a la    provincia en 2017. (56 km2)</w:t>
      </w:r>
    </w:p>
    <w:p w14:paraId="00000007" w14:textId="77777777" w:rsidR="00CF0F81" w:rsidRDefault="003D0DA9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Onshore</w:t>
      </w:r>
      <w:proofErr w:type="spellEnd"/>
      <w:r>
        <w:rPr>
          <w:sz w:val="24"/>
          <w:szCs w:val="24"/>
        </w:rPr>
        <w:t xml:space="preserve">: (Gas) no mencionadas en la decisión de YPF S.A., pero de próximo vto. de la concesión. Titularidad (100 %) y operación a cargo de YPF S.A.  </w:t>
      </w:r>
    </w:p>
    <w:p w14:paraId="00000008" w14:textId="77777777" w:rsidR="00CF0F81" w:rsidRDefault="003D0DA9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Los Chorrillos</w:t>
      </w:r>
      <w:r>
        <w:rPr>
          <w:sz w:val="24"/>
          <w:szCs w:val="24"/>
        </w:rPr>
        <w:t>: vto. 18.4.2026 (912 km2</w:t>
      </w:r>
      <w:r>
        <w:rPr>
          <w:sz w:val="24"/>
          <w:szCs w:val="24"/>
        </w:rPr>
        <w:t>)</w:t>
      </w:r>
    </w:p>
    <w:p w14:paraId="00000009" w14:textId="77777777" w:rsidR="00CF0F81" w:rsidRDefault="003D0DA9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Tierra del Fuego</w:t>
      </w:r>
      <w:r>
        <w:rPr>
          <w:sz w:val="24"/>
          <w:szCs w:val="24"/>
        </w:rPr>
        <w:t>: vto. 14.11.2027 (1.515 km2)</w:t>
      </w:r>
    </w:p>
    <w:p w14:paraId="0000000A" w14:textId="77777777" w:rsidR="00CF0F81" w:rsidRDefault="003D0DA9">
      <w:pPr>
        <w:ind w:left="360" w:firstLine="1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Lago Fuego</w:t>
      </w:r>
      <w:r>
        <w:rPr>
          <w:sz w:val="24"/>
          <w:szCs w:val="24"/>
        </w:rPr>
        <w:t>: 6.11.2027 (534 km2)</w:t>
      </w:r>
    </w:p>
    <w:p w14:paraId="0000000B" w14:textId="77777777" w:rsidR="00CF0F81" w:rsidRDefault="003D0DA9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Análisis en función de los siguientes escenarios posibles (1.1, 1.2 y 1.3):</w:t>
      </w:r>
      <w:r>
        <w:rPr>
          <w:b/>
          <w:sz w:val="24"/>
          <w:szCs w:val="24"/>
        </w:rPr>
        <w:tab/>
      </w:r>
    </w:p>
    <w:p w14:paraId="0000000C" w14:textId="77777777" w:rsidR="00CF0F81" w:rsidRDefault="003D0D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1.1 Área Magallanes: L</w:t>
      </w:r>
      <w:r>
        <w:rPr>
          <w:b/>
          <w:color w:val="000000"/>
          <w:sz w:val="24"/>
          <w:szCs w:val="24"/>
        </w:rPr>
        <w:t>icitación o cesión a terceros por parte de YPF S.A.</w:t>
      </w:r>
    </w:p>
    <w:p w14:paraId="0000000D" w14:textId="77777777" w:rsidR="00CF0F81" w:rsidRDefault="003D0DA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Nuevos ofer</w:t>
      </w:r>
      <w:r>
        <w:rPr>
          <w:sz w:val="24"/>
          <w:szCs w:val="24"/>
        </w:rPr>
        <w:t xml:space="preserve">entes (Ronda Banco Santander). Resultado de la ronda licitatoria. Participación en la negociación por parte de la provincia. Control de legalidad ¿Interviene la provincia como autoridad concedente?     </w:t>
      </w:r>
    </w:p>
    <w:p w14:paraId="0000000E" w14:textId="77777777" w:rsidR="00CF0F81" w:rsidRDefault="003D0DA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Responsabilidad por eventual pasivo ambiental que se </w:t>
      </w:r>
      <w:r>
        <w:rPr>
          <w:sz w:val="24"/>
          <w:szCs w:val="24"/>
        </w:rPr>
        <w:t xml:space="preserve">verifique en los pozos a   transferir. </w:t>
      </w:r>
      <w:proofErr w:type="gramStart"/>
      <w:r>
        <w:rPr>
          <w:sz w:val="24"/>
          <w:szCs w:val="24"/>
        </w:rPr>
        <w:t>Es solidaria entre el concesionario y el tercero adquirente o recae sólo sobre el concesionario titular de la concesión (YPF S.A.)?</w:t>
      </w:r>
      <w:proofErr w:type="gramEnd"/>
      <w:r>
        <w:rPr>
          <w:sz w:val="24"/>
          <w:szCs w:val="24"/>
        </w:rPr>
        <w:t xml:space="preserve"> </w:t>
      </w:r>
    </w:p>
    <w:p w14:paraId="0000000F" w14:textId="77777777" w:rsidR="00CF0F81" w:rsidRDefault="003D0DA9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Es solamente exigible a YPF hasta el vencimiento del plazo de la concesión?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Puede ce</w:t>
      </w:r>
      <w:r>
        <w:rPr>
          <w:sz w:val="24"/>
          <w:szCs w:val="24"/>
        </w:rPr>
        <w:t>der YPF S.A. al tercer adquirente, eventual concesionario, el pasivo ambiental?</w:t>
      </w:r>
      <w:proofErr w:type="gramEnd"/>
      <w:r>
        <w:rPr>
          <w:sz w:val="24"/>
          <w:szCs w:val="24"/>
        </w:rPr>
        <w:t xml:space="preserve"> Habría intervención provincial - control de legalidad (Ley prov. N° 55 y su decreto reglamentario N° 1333/93) en carácter de titular de la concesión? </w:t>
      </w:r>
    </w:p>
    <w:p w14:paraId="00000010" w14:textId="77777777" w:rsidR="00CF0F81" w:rsidRDefault="003D0DA9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Visto la fecha próxima de</w:t>
      </w:r>
      <w:r>
        <w:rPr>
          <w:sz w:val="24"/>
          <w:szCs w:val="24"/>
        </w:rPr>
        <w:t xml:space="preserve"> vencimiento de la concesión “Magallanes” (2027) es posible intervenir para prorrogar al nuevo oferente el plazo de la concesión y hacerla más atractiva para la inversión en términos compatibles con objetivos de desarrollo provincial?</w:t>
      </w:r>
      <w:proofErr w:type="gramEnd"/>
    </w:p>
    <w:p w14:paraId="00000011" w14:textId="77777777" w:rsidR="00CF0F81" w:rsidRDefault="003D0DA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Cumplimiento de </w:t>
      </w:r>
      <w:proofErr w:type="gramStart"/>
      <w:r>
        <w:rPr>
          <w:sz w:val="24"/>
          <w:szCs w:val="24"/>
        </w:rPr>
        <w:t>la pa</w:t>
      </w:r>
      <w:r>
        <w:rPr>
          <w:sz w:val="24"/>
          <w:szCs w:val="24"/>
        </w:rPr>
        <w:t>utas</w:t>
      </w:r>
      <w:proofErr w:type="gramEnd"/>
      <w:r>
        <w:rPr>
          <w:sz w:val="24"/>
          <w:szCs w:val="24"/>
        </w:rPr>
        <w:t xml:space="preserve"> de inversión previstas en la concesión previo a su cesión, de conformidad con el Código de Minería, la ley de hidrocarburos 17.319 y el contrato de concesión respectivo de cada área concesionada. </w:t>
      </w:r>
    </w:p>
    <w:p w14:paraId="00000012" w14:textId="77777777" w:rsidR="00CF0F81" w:rsidRDefault="003D0DA9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Existe control de los tribunales de cuentas provinciales sobre el cumplimiento de las concesiones de hidrocarburos conferidas por sus respectivas provincias?</w:t>
      </w:r>
      <w:proofErr w:type="gramEnd"/>
      <w:r>
        <w:rPr>
          <w:sz w:val="24"/>
          <w:szCs w:val="24"/>
        </w:rPr>
        <w:t xml:space="preserve"> y en ese caso, qué procedimientos de control y cumplimiento se utilizan? Ejemplo:  provincia de Me</w:t>
      </w:r>
      <w:r>
        <w:rPr>
          <w:sz w:val="24"/>
          <w:szCs w:val="24"/>
        </w:rPr>
        <w:t xml:space="preserve">ndoza, entre otras provincias con recursos </w:t>
      </w:r>
      <w:proofErr w:type="spellStart"/>
      <w:r>
        <w:rPr>
          <w:sz w:val="24"/>
          <w:szCs w:val="24"/>
        </w:rPr>
        <w:t>hidrocarburíferos</w:t>
      </w:r>
      <w:proofErr w:type="spellEnd"/>
      <w:r>
        <w:rPr>
          <w:sz w:val="24"/>
          <w:szCs w:val="24"/>
        </w:rPr>
        <w:t>.</w:t>
      </w:r>
    </w:p>
    <w:p w14:paraId="00000013" w14:textId="77777777" w:rsidR="00CF0F81" w:rsidRDefault="003D0DA9">
      <w:pPr>
        <w:ind w:left="36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>
        <w:rPr>
          <w:b/>
          <w:color w:val="000000"/>
          <w:sz w:val="24"/>
          <w:szCs w:val="24"/>
        </w:rPr>
        <w:t xml:space="preserve">Reversión de la concesión </w:t>
      </w:r>
      <w:r>
        <w:rPr>
          <w:b/>
          <w:sz w:val="24"/>
          <w:szCs w:val="24"/>
        </w:rPr>
        <w:t xml:space="preserve">del </w:t>
      </w:r>
      <w:r>
        <w:rPr>
          <w:b/>
          <w:color w:val="000000"/>
          <w:sz w:val="24"/>
          <w:szCs w:val="24"/>
        </w:rPr>
        <w:t xml:space="preserve">área “Magallanes” a la provincia (el área </w:t>
      </w:r>
      <w:r>
        <w:rPr>
          <w:b/>
          <w:sz w:val="24"/>
          <w:szCs w:val="24"/>
        </w:rPr>
        <w:t>Poseidón fue revertida en 2017 sin constar el otorgamiento de una nueva concesión de dicha área)</w:t>
      </w:r>
      <w:r>
        <w:rPr>
          <w:b/>
          <w:color w:val="000000"/>
          <w:sz w:val="24"/>
          <w:szCs w:val="24"/>
        </w:rPr>
        <w:t>.</w:t>
      </w:r>
    </w:p>
    <w:p w14:paraId="00000014" w14:textId="77777777" w:rsidR="00CF0F81" w:rsidRDefault="003D0DA9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Control sobre el cumplimiento de las pautas de inversión previstas en la concesión y en su caso del eventual pasivo ambiental.</w:t>
      </w:r>
    </w:p>
    <w:p w14:paraId="00000015" w14:textId="77777777" w:rsidR="00CF0F81" w:rsidRDefault="003D0DA9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Intervención de la provincia a través de sus áreas competentes (Ministerio de Energía/Ambiente). Casos: provincia Mendoza, entre </w:t>
      </w:r>
      <w:r>
        <w:rPr>
          <w:sz w:val="24"/>
          <w:szCs w:val="24"/>
        </w:rPr>
        <w:t>otras.</w:t>
      </w:r>
    </w:p>
    <w:p w14:paraId="00000016" w14:textId="77777777" w:rsidR="00CF0F81" w:rsidRDefault="003D0DA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Duración de los procesos involucrados en el otorgamiento de una nueva concesión con motivo del abandono de los pozos.</w:t>
      </w:r>
    </w:p>
    <w:p w14:paraId="00000017" w14:textId="77777777" w:rsidR="00CF0F81" w:rsidRDefault="003D0DA9">
      <w:pPr>
        <w:ind w:left="36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1.3. A</w:t>
      </w:r>
      <w:r>
        <w:rPr>
          <w:b/>
          <w:color w:val="000000"/>
          <w:sz w:val="24"/>
          <w:szCs w:val="24"/>
        </w:rPr>
        <w:t xml:space="preserve">djudicación a Terra </w:t>
      </w:r>
      <w:proofErr w:type="spellStart"/>
      <w:r>
        <w:rPr>
          <w:b/>
          <w:color w:val="000000"/>
          <w:sz w:val="24"/>
          <w:szCs w:val="24"/>
        </w:rPr>
        <w:t>Ignis</w:t>
      </w:r>
      <w:proofErr w:type="spellEnd"/>
      <w:r>
        <w:rPr>
          <w:b/>
          <w:color w:val="000000"/>
          <w:sz w:val="24"/>
          <w:szCs w:val="24"/>
        </w:rPr>
        <w:t xml:space="preserve"> S.A. </w:t>
      </w:r>
      <w:r>
        <w:rPr>
          <w:b/>
          <w:sz w:val="24"/>
          <w:szCs w:val="24"/>
        </w:rPr>
        <w:t>(preferencia constitucional y legal provincial) y posibilidad de asociación con otras empresas</w:t>
      </w:r>
      <w:r>
        <w:rPr>
          <w:b/>
          <w:sz w:val="24"/>
          <w:szCs w:val="24"/>
        </w:rPr>
        <w:t xml:space="preserve"> con experiencia en el </w:t>
      </w:r>
      <w:r>
        <w:rPr>
          <w:b/>
          <w:color w:val="000000"/>
          <w:sz w:val="24"/>
          <w:szCs w:val="24"/>
        </w:rPr>
        <w:t xml:space="preserve">manejo de campos maduros convencionales. </w:t>
      </w:r>
    </w:p>
    <w:p w14:paraId="00000018" w14:textId="77777777" w:rsidR="00CF0F81" w:rsidRDefault="003D0D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Modalidad contractual más utilizada (UTE, otros), capitalización de </w:t>
      </w:r>
      <w:r>
        <w:rPr>
          <w:sz w:val="24"/>
          <w:szCs w:val="24"/>
        </w:rPr>
        <w:t xml:space="preserve">Terra </w:t>
      </w:r>
      <w:proofErr w:type="spellStart"/>
      <w:r>
        <w:rPr>
          <w:sz w:val="24"/>
          <w:szCs w:val="24"/>
        </w:rPr>
        <w:t>Ignis</w:t>
      </w:r>
      <w:proofErr w:type="spellEnd"/>
      <w:r>
        <w:rPr>
          <w:color w:val="000000"/>
          <w:sz w:val="24"/>
          <w:szCs w:val="24"/>
        </w:rPr>
        <w:t>.</w:t>
      </w:r>
    </w:p>
    <w:p w14:paraId="00000019" w14:textId="77777777" w:rsidR="00CF0F81" w:rsidRDefault="00CF0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A" w14:textId="77777777" w:rsidR="00CF0F81" w:rsidRDefault="003D0D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Proyecto n</w:t>
      </w:r>
      <w:r>
        <w:rPr>
          <w:b/>
          <w:color w:val="000000"/>
          <w:sz w:val="24"/>
          <w:szCs w:val="24"/>
        </w:rPr>
        <w:t xml:space="preserve">ueva Ley Bases. Incidencia en futuros proyectos de inversión en la provincia. </w:t>
      </w:r>
    </w:p>
    <w:p w14:paraId="0000001B" w14:textId="77777777" w:rsidR="00CF0F81" w:rsidRDefault="00CF0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C" w14:textId="77777777" w:rsidR="00CF0F81" w:rsidRDefault="003D0D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Permisos de exploración. Estrategia provincial para ampliar la base productiva en materia energética e </w:t>
      </w:r>
      <w:proofErr w:type="spellStart"/>
      <w:r>
        <w:rPr>
          <w:color w:val="000000"/>
          <w:sz w:val="24"/>
          <w:szCs w:val="24"/>
        </w:rPr>
        <w:t>hidrocaburífera</w:t>
      </w:r>
      <w:proofErr w:type="spellEnd"/>
      <w:r>
        <w:rPr>
          <w:color w:val="000000"/>
          <w:sz w:val="24"/>
          <w:szCs w:val="24"/>
        </w:rPr>
        <w:t>. Prospecciones de áreas probables de localización de hidrocarburos (convencional/no convencional/</w:t>
      </w:r>
      <w:proofErr w:type="spellStart"/>
      <w:r>
        <w:rPr>
          <w:color w:val="000000"/>
          <w:sz w:val="24"/>
          <w:szCs w:val="24"/>
        </w:rPr>
        <w:t>onshore-offsore</w:t>
      </w:r>
      <w:proofErr w:type="spellEnd"/>
      <w:r>
        <w:rPr>
          <w:color w:val="000000"/>
          <w:sz w:val="24"/>
          <w:szCs w:val="24"/>
        </w:rPr>
        <w:t xml:space="preserve">). </w:t>
      </w:r>
    </w:p>
    <w:p w14:paraId="0000001D" w14:textId="77777777" w:rsidR="00CF0F81" w:rsidRDefault="00CF0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0000001E" w14:textId="77777777" w:rsidR="00CF0F81" w:rsidRDefault="003D0D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RIGI</w:t>
      </w:r>
      <w:r>
        <w:rPr>
          <w:sz w:val="24"/>
          <w:szCs w:val="24"/>
        </w:rPr>
        <w:t xml:space="preserve"> (Régimen de Inc</w:t>
      </w:r>
      <w:r>
        <w:rPr>
          <w:sz w:val="24"/>
          <w:szCs w:val="24"/>
        </w:rPr>
        <w:t>entivo de Grandes Inversiones)</w:t>
      </w:r>
      <w:r>
        <w:rPr>
          <w:color w:val="000000"/>
          <w:sz w:val="24"/>
          <w:szCs w:val="24"/>
        </w:rPr>
        <w:t xml:space="preserve">. Efectos. </w:t>
      </w:r>
    </w:p>
    <w:p w14:paraId="0000001F" w14:textId="77777777" w:rsidR="00CF0F81" w:rsidRDefault="00CF0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0" w14:textId="29C63921" w:rsidR="00CF0F81" w:rsidRDefault="003D0D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Energías </w:t>
      </w:r>
      <w:bookmarkStart w:id="3" w:name="_GoBack"/>
      <w:bookmarkEnd w:id="3"/>
      <w:r>
        <w:rPr>
          <w:b/>
          <w:color w:val="000000"/>
          <w:sz w:val="24"/>
          <w:szCs w:val="24"/>
        </w:rPr>
        <w:t xml:space="preserve">renovables. Escenario provincial ante la </w:t>
      </w:r>
      <w:proofErr w:type="spellStart"/>
      <w:r>
        <w:rPr>
          <w:b/>
          <w:color w:val="000000"/>
          <w:sz w:val="24"/>
          <w:szCs w:val="24"/>
        </w:rPr>
        <w:t>descarbonización</w:t>
      </w:r>
      <w:proofErr w:type="spellEnd"/>
      <w:r>
        <w:rPr>
          <w:b/>
          <w:color w:val="000000"/>
          <w:sz w:val="24"/>
          <w:szCs w:val="24"/>
        </w:rPr>
        <w:t xml:space="preserve"> y transición energética. Cambio climático (año 2050). Convenio de París. </w:t>
      </w:r>
    </w:p>
    <w:p w14:paraId="00000021" w14:textId="77777777" w:rsidR="00CF0F81" w:rsidRDefault="003D0D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Ejemplo: Hidrógeno (Ley 26.123 - Promoción del hidrógeno y sin reglamentar a la fecha).</w:t>
      </w:r>
    </w:p>
    <w:p w14:paraId="00000022" w14:textId="77777777" w:rsidR="00CF0F81" w:rsidRDefault="003D0D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Mercados de carbono.</w:t>
      </w:r>
    </w:p>
    <w:p w14:paraId="00000023" w14:textId="77777777" w:rsidR="00CF0F81" w:rsidRDefault="003D0D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Existen instrumentos (mercados regulados y voluntarios) que puedan ser utilizados por la provincia teniendo en cuenta sus recursos naturales (95 </w:t>
      </w:r>
      <w:r>
        <w:rPr>
          <w:sz w:val="24"/>
          <w:szCs w:val="24"/>
        </w:rPr>
        <w:t xml:space="preserve">% de humedales de turba del país, bosques naturales y marinos de algas, etc.) como captadores de carbono y demás gases de efecto invernadero en el marco de los acuerdos sobre cambio climático que pueden favorecer la transición energética y </w:t>
      </w:r>
      <w:r>
        <w:rPr>
          <w:sz w:val="24"/>
          <w:szCs w:val="24"/>
        </w:rPr>
        <w:lastRenderedPageBreak/>
        <w:t>liderar el desar</w:t>
      </w:r>
      <w:r>
        <w:rPr>
          <w:sz w:val="24"/>
          <w:szCs w:val="24"/>
        </w:rPr>
        <w:t xml:space="preserve">rollo de las </w:t>
      </w:r>
      <w:proofErr w:type="gramStart"/>
      <w:r>
        <w:rPr>
          <w:sz w:val="24"/>
          <w:szCs w:val="24"/>
        </w:rPr>
        <w:t>energía renovables</w:t>
      </w:r>
      <w:proofErr w:type="gramEnd"/>
      <w:r>
        <w:rPr>
          <w:sz w:val="24"/>
          <w:szCs w:val="24"/>
        </w:rPr>
        <w:t xml:space="preserve"> en el ámbito provincial? </w:t>
      </w:r>
      <w:proofErr w:type="gramStart"/>
      <w:r>
        <w:rPr>
          <w:sz w:val="24"/>
          <w:szCs w:val="24"/>
        </w:rPr>
        <w:t>Cuáles podrían ser utilizados?</w:t>
      </w:r>
      <w:proofErr w:type="gramEnd"/>
    </w:p>
    <w:p w14:paraId="00000024" w14:textId="77777777" w:rsidR="00CF0F81" w:rsidRDefault="003D0D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Análisis de la Res. </w:t>
      </w:r>
      <w:proofErr w:type="spellStart"/>
      <w:r>
        <w:rPr>
          <w:sz w:val="24"/>
          <w:szCs w:val="24"/>
        </w:rPr>
        <w:t>MAyDS</w:t>
      </w:r>
      <w:proofErr w:type="spellEnd"/>
      <w:r>
        <w:rPr>
          <w:sz w:val="24"/>
          <w:szCs w:val="24"/>
        </w:rPr>
        <w:t xml:space="preserve"> N° 385/2023 y demás instrumentos legales en materia de cambio climático, desarrollo sostenible e innovación de los cuales el país es parte s</w:t>
      </w:r>
      <w:r>
        <w:rPr>
          <w:sz w:val="24"/>
          <w:szCs w:val="24"/>
        </w:rPr>
        <w:t>ignataria (Acuerdo de París sobre cambio climático e instrumentos legales vinculados).</w:t>
      </w:r>
    </w:p>
    <w:p w14:paraId="00000025" w14:textId="77777777" w:rsidR="00CF0F81" w:rsidRDefault="00CF0F81">
      <w:pPr>
        <w:ind w:left="360"/>
        <w:rPr>
          <w:sz w:val="24"/>
          <w:szCs w:val="24"/>
        </w:rPr>
      </w:pPr>
    </w:p>
    <w:p w14:paraId="00000026" w14:textId="77777777" w:rsidR="00CF0F81" w:rsidRDefault="003D0D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7" w14:textId="77777777" w:rsidR="00CF0F81" w:rsidRDefault="003D0D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F0F8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E9C"/>
    <w:multiLevelType w:val="multilevel"/>
    <w:tmpl w:val="02E0AF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2F076C"/>
    <w:multiLevelType w:val="multilevel"/>
    <w:tmpl w:val="E3083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475CB6"/>
    <w:multiLevelType w:val="multilevel"/>
    <w:tmpl w:val="D29406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DA1D4B"/>
    <w:multiLevelType w:val="multilevel"/>
    <w:tmpl w:val="DC40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4D59F8"/>
    <w:multiLevelType w:val="multilevel"/>
    <w:tmpl w:val="7CDA4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57239B"/>
    <w:multiLevelType w:val="multilevel"/>
    <w:tmpl w:val="4DBC85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C023CB"/>
    <w:multiLevelType w:val="multilevel"/>
    <w:tmpl w:val="C0645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81"/>
    <w:rsid w:val="001C638B"/>
    <w:rsid w:val="003D0DA9"/>
    <w:rsid w:val="00A5015A"/>
    <w:rsid w:val="00C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34BFCB-F235-4176-83C4-E8C201F7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Valcheff Christian Ruben</dc:creator>
  <cp:lastModifiedBy>Valcheff Christian Ruben</cp:lastModifiedBy>
  <cp:revision>4</cp:revision>
  <cp:lastPrinted>2024-05-21T13:34:00Z</cp:lastPrinted>
  <dcterms:created xsi:type="dcterms:W3CDTF">2024-05-21T13:21:00Z</dcterms:created>
  <dcterms:modified xsi:type="dcterms:W3CDTF">2024-05-21T13:51:00Z</dcterms:modified>
</cp:coreProperties>
</file>