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AE" w:rsidRPr="00E702AE" w:rsidRDefault="00E702AE" w:rsidP="00DE7411">
      <w:pPr>
        <w:shd w:val="clear" w:color="auto" w:fill="FFFFFF"/>
        <w:spacing w:after="0" w:line="360" w:lineRule="atLeast"/>
        <w:outlineLvl w:val="3"/>
        <w:rPr>
          <w:rFonts w:asciiTheme="majorHAnsi" w:eastAsia="Times New Roman" w:hAnsiTheme="majorHAnsi" w:cs="Times New Roman"/>
          <w:b/>
          <w:bCs/>
          <w:color w:val="444444"/>
          <w:spacing w:val="15"/>
          <w:sz w:val="26"/>
          <w:szCs w:val="26"/>
          <w:lang w:eastAsia="es-AR"/>
        </w:rPr>
      </w:pPr>
      <w:r w:rsidRPr="00E702AE">
        <w:rPr>
          <w:rFonts w:asciiTheme="majorHAnsi" w:eastAsia="Times New Roman" w:hAnsiTheme="majorHAnsi" w:cs="Times New Roman"/>
          <w:b/>
          <w:bCs/>
          <w:color w:val="444444"/>
          <w:spacing w:val="15"/>
          <w:sz w:val="26"/>
          <w:szCs w:val="26"/>
          <w:lang w:eastAsia="es-AR"/>
        </w:rPr>
        <w:t>M</w:t>
      </w:r>
      <w:r w:rsidR="00DE7411" w:rsidRPr="00E702AE">
        <w:rPr>
          <w:rFonts w:asciiTheme="majorHAnsi" w:eastAsia="Times New Roman" w:hAnsiTheme="majorHAnsi" w:cs="Times New Roman"/>
          <w:b/>
          <w:bCs/>
          <w:color w:val="444444"/>
          <w:spacing w:val="15"/>
          <w:sz w:val="26"/>
          <w:szCs w:val="26"/>
          <w:lang w:eastAsia="es-AR"/>
        </w:rPr>
        <w:t xml:space="preserve">arco legal provincial aplicable en materia </w:t>
      </w:r>
      <w:r w:rsidRPr="00E702AE">
        <w:rPr>
          <w:rFonts w:asciiTheme="majorHAnsi" w:eastAsia="Times New Roman" w:hAnsiTheme="majorHAnsi" w:cs="Times New Roman"/>
          <w:b/>
          <w:bCs/>
          <w:color w:val="444444"/>
          <w:spacing w:val="15"/>
          <w:sz w:val="26"/>
          <w:szCs w:val="26"/>
          <w:lang w:eastAsia="es-AR"/>
        </w:rPr>
        <w:t>de hidrocarburos:</w:t>
      </w:r>
    </w:p>
    <w:p w:rsidR="00DE7411" w:rsidRPr="00E702AE" w:rsidRDefault="00DE7411" w:rsidP="00DE7411">
      <w:pPr>
        <w:shd w:val="clear" w:color="auto" w:fill="FFFFFF"/>
        <w:spacing w:after="0" w:line="360" w:lineRule="atLeast"/>
        <w:outlineLvl w:val="3"/>
        <w:rPr>
          <w:rFonts w:asciiTheme="majorHAnsi" w:eastAsia="Times New Roman" w:hAnsiTheme="majorHAnsi" w:cs="Times New Roman"/>
          <w:b/>
          <w:bCs/>
          <w:color w:val="444444"/>
          <w:spacing w:val="15"/>
          <w:sz w:val="26"/>
          <w:szCs w:val="26"/>
          <w:lang w:eastAsia="es-AR"/>
        </w:rPr>
      </w:pP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color w:val="808080"/>
          <w:sz w:val="26"/>
          <w:szCs w:val="26"/>
        </w:rPr>
      </w:pP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 xml:space="preserve">El marco normativo general aplicable a las actividades </w:t>
      </w:r>
      <w:proofErr w:type="spellStart"/>
      <w:r w:rsidRPr="00E702AE">
        <w:rPr>
          <w:rFonts w:asciiTheme="majorHAnsi" w:hAnsiTheme="majorHAnsi"/>
          <w:color w:val="808080"/>
          <w:sz w:val="26"/>
          <w:szCs w:val="26"/>
        </w:rPr>
        <w:t>hidrocarburíferas</w:t>
      </w:r>
      <w:proofErr w:type="spellEnd"/>
      <w:r w:rsidRPr="00E702AE">
        <w:rPr>
          <w:rFonts w:asciiTheme="majorHAnsi" w:hAnsiTheme="majorHAnsi"/>
          <w:color w:val="808080"/>
          <w:sz w:val="26"/>
          <w:szCs w:val="26"/>
        </w:rPr>
        <w:t xml:space="preserve"> en la Provincia está dado por las siguientes normas: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>a) La Constitución Nacional (artículos 31, 75 inc. 12, 124 y concordantes).</w:t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br/>
        <w:t>b) La Ley Nacional Nº 17.319, sus normas reglamentarias, complementarias y modificatorias (Leyes 26.197 y 27.007).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>c) Constitución de la Provincia de Tierra del Fuego Antártida e Islas del Atlántico Sur;</w:t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 xml:space="preserve">En materia de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 xml:space="preserve">regalías </w:t>
      </w:r>
      <w:proofErr w:type="spellStart"/>
      <w:r w:rsidRPr="00E702AE">
        <w:rPr>
          <w:rFonts w:asciiTheme="majorHAnsi" w:hAnsiTheme="majorHAnsi"/>
          <w:b/>
          <w:color w:val="808080"/>
          <w:sz w:val="26"/>
          <w:szCs w:val="26"/>
        </w:rPr>
        <w:t>hidrocarburíferas</w:t>
      </w:r>
      <w:proofErr w:type="spellEnd"/>
      <w:r w:rsidRPr="00E702AE">
        <w:rPr>
          <w:rFonts w:asciiTheme="majorHAnsi" w:hAnsiTheme="majorHAnsi"/>
          <w:color w:val="808080"/>
          <w:sz w:val="26"/>
          <w:szCs w:val="26"/>
        </w:rPr>
        <w:t>, además de las previsiones contenidas en la Ley Nacional N° 17.319, deben considerarse las siguientes normas: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>a) Ley Provincial 1075 (Código Fiscal) y Decreto Provincial N° 1292/17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>b) Decreto Nacional 1671/69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>c) Resoluciones de la Secretaría de Energía de la Nación 155/1992, 188/1993, 73/1994 y 435/2004.</w:t>
      </w:r>
    </w:p>
    <w:p w:rsid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 xml:space="preserve">En relación a la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>protección ambiental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de los recursos existen en Argentina leyes nacionales de presupuestos mínimos que deben ser cumplidas junto con el resto del plexo normativo conformado por las normas nacionales, provinciales y resoluciones de distintos organismos de aplicación</w:t>
      </w:r>
      <w:r>
        <w:rPr>
          <w:rFonts w:asciiTheme="majorHAnsi" w:hAnsiTheme="majorHAnsi"/>
          <w:color w:val="808080"/>
          <w:sz w:val="26"/>
          <w:szCs w:val="26"/>
        </w:rPr>
        <w:t>: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b/>
          <w:color w:val="808080"/>
          <w:sz w:val="26"/>
          <w:szCs w:val="26"/>
        </w:rPr>
        <w:t>Ley 55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reglamentada por el </w:t>
      </w:r>
      <w:proofErr w:type="spellStart"/>
      <w:r w:rsidRPr="00E702AE">
        <w:rPr>
          <w:rFonts w:asciiTheme="majorHAnsi" w:hAnsiTheme="majorHAnsi"/>
          <w:b/>
          <w:color w:val="808080"/>
          <w:sz w:val="26"/>
          <w:szCs w:val="26"/>
        </w:rPr>
        <w:t>Dec</w:t>
      </w:r>
      <w:proofErr w:type="spellEnd"/>
      <w:r w:rsidRPr="00E702AE">
        <w:rPr>
          <w:rFonts w:asciiTheme="majorHAnsi" w:hAnsiTheme="majorHAnsi"/>
          <w:b/>
          <w:color w:val="808080"/>
          <w:sz w:val="26"/>
          <w:szCs w:val="26"/>
        </w:rPr>
        <w:t>. 1333/93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tiene por objeto la preservación, conservación, defensa y mejoramiento del medio ambiente de la provincia, estableciendo sus principios rectores a los fines de perpetuar los ecosistemas existentes en su territorio, como patrimonio común de todas las generaciones, debiendo asegurar la conservación de la calidad ambiental, la diversidad biológica y sus recursos escénicos. Anexo VI: Normas de Protección Ambiental durante las operaciones de exploración y explotación de hidrocarburos (Replica Resolución SE 105/92).</w:t>
      </w:r>
    </w:p>
    <w:p w:rsidR="00E702AE" w:rsidRDefault="00E702AE" w:rsidP="00E702A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 xml:space="preserve">La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>Ley 105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regula la generación, manipulación, transporte, tratamiento y disposición final de residuos peligrosos quedarán cuando se tratare de residuos generados o ubicados en lugares sometidos a jurisdicción provincial. Obligación de inscribirse en el registro y cumplimentar con el pago de la tasa de evaluación y fiscalización establecida mediante artículo 16° de la citada norma provincial y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 xml:space="preserve">Resolución. </w:t>
      </w:r>
      <w:proofErr w:type="spellStart"/>
      <w:r w:rsidRPr="00E702AE">
        <w:rPr>
          <w:rFonts w:asciiTheme="majorHAnsi" w:hAnsiTheme="majorHAnsi"/>
          <w:b/>
          <w:color w:val="808080"/>
          <w:sz w:val="26"/>
          <w:szCs w:val="26"/>
        </w:rPr>
        <w:t>S.D.S.y</w:t>
      </w:r>
      <w:proofErr w:type="spellEnd"/>
      <w:r w:rsidRPr="00E702AE">
        <w:rPr>
          <w:rFonts w:asciiTheme="majorHAnsi" w:hAnsiTheme="majorHAnsi"/>
          <w:b/>
          <w:color w:val="808080"/>
          <w:sz w:val="26"/>
          <w:szCs w:val="26"/>
        </w:rPr>
        <w:t xml:space="preserve"> A.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 xml:space="preserve">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 xml:space="preserve"> N” 401/12.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br/>
      </w:r>
    </w:p>
    <w:p w:rsidR="00E702AE" w:rsidRDefault="00E702AE" w:rsidP="00E702A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 xml:space="preserve">La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>Resolución 113/05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de la Subsecretaría de Recursos Naturales establece por su parte, que los residuos constituidos por aguas residuales con hidrocarburos, aceites de sentina e hidrocarburos residuales generados en buques, que sean </w:t>
      </w:r>
      <w:proofErr w:type="spellStart"/>
      <w:r w:rsidRPr="00E702AE">
        <w:rPr>
          <w:rFonts w:asciiTheme="majorHAnsi" w:hAnsiTheme="majorHAnsi"/>
          <w:color w:val="808080"/>
          <w:sz w:val="26"/>
          <w:szCs w:val="26"/>
        </w:rPr>
        <w:t>recepcionados</w:t>
      </w:r>
      <w:proofErr w:type="spellEnd"/>
      <w:r w:rsidRPr="00E702AE">
        <w:rPr>
          <w:rFonts w:asciiTheme="majorHAnsi" w:hAnsiTheme="majorHAnsi"/>
          <w:color w:val="808080"/>
          <w:sz w:val="26"/>
          <w:szCs w:val="26"/>
        </w:rPr>
        <w:t xml:space="preserve"> en puerto, deberán ser sometidos dentro del territorio provincial al manejo, tratamiento y/o disposición final establecidos por la Ley Provincial N° 105 para los desechos con estas características.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Default="00E702AE" w:rsidP="00E702A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 xml:space="preserve">La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>Ley 176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prohíbe toda actividad de acercamiento a cualquier especie de mamífero marino y zonas de nidificación de aves en las costas y mar de jurisdicción provincial durante todo el año calendario, sin autorización de la autoridad de aplicación.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Default="00E702AE" w:rsidP="00E702A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 xml:space="preserve">La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>Ley 237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prohíbe a las reparticiones estatales, entidades públicas y privadas y particulares, la descarga de efluentes residuales sólidos, líquidos o gaseosos, de cualquier origen, a la atmósfera, canalizaciones, acequias, ríos y toda otra fuente, curso o receptor de agua, superficial o subterránea, o marino que signifique contaminación del aire o de las aguas, sin previo tratamiento de depuración o neutralización, que los convierta en inocuos e inofensivos para la salud de la población, flora, fauna, terrestre y/o marina.</w:t>
      </w:r>
      <w:r w:rsidRPr="00E702AE">
        <w:rPr>
          <w:rFonts w:asciiTheme="majorHAnsi" w:hAnsiTheme="majorHAnsi"/>
          <w:color w:val="808080"/>
          <w:sz w:val="26"/>
          <w:szCs w:val="26"/>
        </w:rPr>
        <w:br/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HAnsi" w:hAnsiTheme="majorHAnsi"/>
          <w:color w:val="808080"/>
          <w:sz w:val="26"/>
          <w:szCs w:val="26"/>
        </w:rPr>
      </w:pPr>
      <w:r>
        <w:rPr>
          <w:rFonts w:asciiTheme="majorHAnsi" w:hAnsiTheme="majorHAnsi"/>
          <w:color w:val="808080"/>
          <w:sz w:val="26"/>
          <w:szCs w:val="26"/>
        </w:rPr>
        <w:t>L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a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>Ley 272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crea el Sistema Provincial de Áreas Protegidas.</w:t>
      </w:r>
    </w:p>
    <w:p w:rsidR="00E702AE" w:rsidRPr="00E702AE" w:rsidRDefault="00E702AE" w:rsidP="00E702AE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ajorHAnsi" w:hAnsiTheme="majorHAnsi"/>
          <w:color w:val="808080"/>
          <w:sz w:val="26"/>
          <w:szCs w:val="26"/>
        </w:rPr>
      </w:pPr>
      <w:r w:rsidRPr="00E702AE">
        <w:rPr>
          <w:rFonts w:asciiTheme="majorHAnsi" w:hAnsiTheme="majorHAnsi"/>
          <w:color w:val="808080"/>
          <w:sz w:val="26"/>
          <w:szCs w:val="26"/>
        </w:rPr>
        <w:t xml:space="preserve">La </w:t>
      </w:r>
      <w:r w:rsidRPr="00E702AE">
        <w:rPr>
          <w:rFonts w:asciiTheme="majorHAnsi" w:hAnsiTheme="majorHAnsi"/>
          <w:b/>
          <w:color w:val="808080"/>
          <w:sz w:val="26"/>
          <w:szCs w:val="26"/>
        </w:rPr>
        <w:t>Ley 396</w:t>
      </w:r>
      <w:r w:rsidRPr="00E702AE">
        <w:rPr>
          <w:rFonts w:asciiTheme="majorHAnsi" w:hAnsiTheme="majorHAnsi"/>
          <w:color w:val="808080"/>
          <w:sz w:val="26"/>
          <w:szCs w:val="26"/>
        </w:rPr>
        <w:t xml:space="preserve"> prohíbe en todo el ámbito del Territorio Nacional de la Tierra del Fuego, Antártida e Isla del Atlántico Sur, la recepción, el depósito, el procesamiento, la utilización y/o la distribución de cualquier tipo de materiales, elementos, sustancias y productos procesados o no que configuren riesgo presente o futuro para la salud y la vida de las personas, la fauna y la flora.</w:t>
      </w:r>
      <w:r w:rsidRPr="00E702AE">
        <w:rPr>
          <w:rFonts w:asciiTheme="majorHAnsi" w:hAnsiTheme="majorHAnsi"/>
          <w:color w:val="808080"/>
          <w:sz w:val="26"/>
          <w:szCs w:val="26"/>
        </w:rPr>
        <w:br/>
        <w:t>Finalmente la Ley Provincial 610 especifica los permisos que debe obtener la plataforma, aunque no contempla especificaciones de tipo técnico o ambiental.</w:t>
      </w:r>
    </w:p>
    <w:p w:rsidR="00E702AE" w:rsidRPr="00E702AE" w:rsidRDefault="00E702AE" w:rsidP="00DE7411">
      <w:pPr>
        <w:shd w:val="clear" w:color="auto" w:fill="FFFFFF"/>
        <w:spacing w:after="0" w:line="360" w:lineRule="atLeast"/>
        <w:outlineLvl w:val="3"/>
        <w:rPr>
          <w:rFonts w:asciiTheme="majorHAnsi" w:eastAsia="Times New Roman" w:hAnsiTheme="majorHAnsi" w:cs="Times New Roman"/>
          <w:b/>
          <w:bCs/>
          <w:color w:val="444444"/>
          <w:spacing w:val="15"/>
          <w:sz w:val="26"/>
          <w:szCs w:val="26"/>
          <w:lang w:eastAsia="es-AR"/>
        </w:rPr>
      </w:pPr>
    </w:p>
    <w:p w:rsidR="00E702AE" w:rsidRPr="00E702AE" w:rsidRDefault="00E702AE" w:rsidP="00DE7411">
      <w:pPr>
        <w:shd w:val="clear" w:color="auto" w:fill="FFFFFF"/>
        <w:spacing w:after="0" w:line="360" w:lineRule="atLeast"/>
        <w:outlineLvl w:val="3"/>
        <w:rPr>
          <w:rFonts w:asciiTheme="majorHAnsi" w:eastAsia="Times New Roman" w:hAnsiTheme="majorHAnsi" w:cs="Times New Roman"/>
          <w:b/>
          <w:bCs/>
          <w:color w:val="444444"/>
          <w:spacing w:val="15"/>
          <w:sz w:val="26"/>
          <w:szCs w:val="26"/>
          <w:lang w:eastAsia="es-AR"/>
        </w:rPr>
      </w:pPr>
    </w:p>
    <w:p w:rsidR="00E702AE" w:rsidRPr="00E702AE" w:rsidRDefault="00E702AE" w:rsidP="00DE7411">
      <w:pPr>
        <w:shd w:val="clear" w:color="auto" w:fill="FFFFFF"/>
        <w:spacing w:after="0" w:line="360" w:lineRule="atLeast"/>
        <w:outlineLvl w:val="3"/>
        <w:rPr>
          <w:rFonts w:asciiTheme="majorHAnsi" w:eastAsia="Times New Roman" w:hAnsiTheme="majorHAnsi" w:cs="Times New Roman"/>
          <w:b/>
          <w:bCs/>
          <w:color w:val="444444"/>
          <w:spacing w:val="15"/>
          <w:sz w:val="26"/>
          <w:szCs w:val="26"/>
          <w:lang w:eastAsia="es-AR"/>
        </w:rPr>
      </w:pPr>
    </w:p>
    <w:p w:rsidR="00DE7411" w:rsidRDefault="00DE7411" w:rsidP="00DE7411">
      <w:pPr>
        <w:pStyle w:val="Prrafodelista"/>
        <w:numPr>
          <w:ilvl w:val="0"/>
          <w:numId w:val="1"/>
        </w:numPr>
        <w:shd w:val="clear" w:color="auto" w:fill="FFFFFF"/>
        <w:spacing w:after="0" w:line="360" w:lineRule="atLeast"/>
        <w:outlineLvl w:val="3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  <w:r w:rsidRPr="00E702AE">
        <w:rPr>
          <w:rFonts w:asciiTheme="majorHAnsi" w:eastAsia="Times New Roman" w:hAnsiTheme="majorHAnsi" w:cs="Times New Roman"/>
          <w:b/>
          <w:bCs/>
          <w:color w:val="999999"/>
          <w:sz w:val="26"/>
          <w:szCs w:val="26"/>
          <w:lang w:eastAsia="es-AR"/>
        </w:rPr>
        <w:t>Ley 55</w:t>
      </w:r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>: preservación, conservación, defensa y mejoramiento del medio ambiente de la Provincia de Tierra del Fuego, Antártida e Islas del Atlántico Sur.</w:t>
      </w:r>
    </w:p>
    <w:p w:rsidR="00E702AE" w:rsidRPr="00E702AE" w:rsidRDefault="00E702AE" w:rsidP="00E702AE">
      <w:pPr>
        <w:pStyle w:val="Prrafodelista"/>
        <w:shd w:val="clear" w:color="auto" w:fill="FFFFFF"/>
        <w:spacing w:after="0" w:line="360" w:lineRule="atLeast"/>
        <w:outlineLvl w:val="3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</w:p>
    <w:p w:rsidR="00DE7411" w:rsidRDefault="00DE7411" w:rsidP="00DE7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  <w:r w:rsidRPr="00E702AE">
        <w:rPr>
          <w:rFonts w:asciiTheme="majorHAnsi" w:eastAsia="Times New Roman" w:hAnsiTheme="majorHAnsi" w:cs="Times New Roman"/>
          <w:b/>
          <w:bCs/>
          <w:color w:val="999999"/>
          <w:sz w:val="26"/>
          <w:szCs w:val="26"/>
          <w:lang w:eastAsia="es-AR"/>
        </w:rPr>
        <w:t>Decreto 1.333/93:</w:t>
      </w:r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> reglamentario de la Ley 55. Procedimientos (etapa de Exploración, de Explotación y de Desarrollo y Producción).</w:t>
      </w:r>
    </w:p>
    <w:p w:rsidR="00E702AE" w:rsidRPr="00E702AE" w:rsidRDefault="00E702AE" w:rsidP="00E702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</w:p>
    <w:p w:rsidR="00DE7411" w:rsidRDefault="00DE7411" w:rsidP="00DE7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  <w:r w:rsidRPr="00E702AE">
        <w:rPr>
          <w:rFonts w:asciiTheme="majorHAnsi" w:eastAsia="Times New Roman" w:hAnsiTheme="majorHAnsi" w:cs="Times New Roman"/>
          <w:b/>
          <w:bCs/>
          <w:color w:val="999999"/>
          <w:sz w:val="26"/>
          <w:szCs w:val="26"/>
          <w:lang w:eastAsia="es-AR"/>
        </w:rPr>
        <w:t>Resolución 225/15</w:t>
      </w:r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 xml:space="preserve">: se crea el Registro Provincial de Incidentes Ambientales, en el cual deberán documentarse todos los incidentes denunciados por las operadoras de áreas </w:t>
      </w:r>
      <w:proofErr w:type="spellStart"/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>hidrocarburíferas</w:t>
      </w:r>
      <w:proofErr w:type="spellEnd"/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 xml:space="preserve"> dentro del territorio provincial.</w:t>
      </w:r>
    </w:p>
    <w:p w:rsidR="00E702AE" w:rsidRPr="00E702AE" w:rsidRDefault="00E702AE" w:rsidP="00E702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</w:p>
    <w:p w:rsidR="00DE7411" w:rsidRDefault="00DE7411" w:rsidP="00DE7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  <w:r w:rsidRPr="00E702AE">
        <w:rPr>
          <w:rFonts w:asciiTheme="majorHAnsi" w:eastAsia="Times New Roman" w:hAnsiTheme="majorHAnsi" w:cs="Times New Roman"/>
          <w:b/>
          <w:bCs/>
          <w:color w:val="999999"/>
          <w:sz w:val="26"/>
          <w:szCs w:val="26"/>
          <w:lang w:eastAsia="es-AR"/>
        </w:rPr>
        <w:t>Resolución 234/15: </w:t>
      </w:r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 xml:space="preserve">aprueba las normas reglamentarias para la transferencia de residuos peligrosos provenientes de la actividad </w:t>
      </w:r>
      <w:proofErr w:type="spellStart"/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>hidrocarburífera</w:t>
      </w:r>
      <w:proofErr w:type="spellEnd"/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 xml:space="preserve"> de la provincia entre generadores, transportistas y operadores, y aprueba el Manifiesto para el traslado de dichos residuos peligrosos.</w:t>
      </w:r>
    </w:p>
    <w:p w:rsidR="00E702AE" w:rsidRPr="00E702AE" w:rsidRDefault="00E702AE" w:rsidP="00E702A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</w:p>
    <w:p w:rsidR="00DE7411" w:rsidRDefault="00DE7411" w:rsidP="00DE7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  <w:r w:rsidRPr="00E702AE">
        <w:rPr>
          <w:rFonts w:asciiTheme="majorHAnsi" w:eastAsia="Times New Roman" w:hAnsiTheme="majorHAnsi" w:cs="Times New Roman"/>
          <w:b/>
          <w:bCs/>
          <w:color w:val="999999"/>
          <w:sz w:val="26"/>
          <w:szCs w:val="26"/>
          <w:lang w:eastAsia="es-AR"/>
        </w:rPr>
        <w:t>Resolución 233/15:</w:t>
      </w:r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 xml:space="preserve"> se crea el Registro Provincial de Generadores y Operadores de Residuos </w:t>
      </w:r>
      <w:proofErr w:type="spellStart"/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>Hidrocarburíferos</w:t>
      </w:r>
      <w:proofErr w:type="spellEnd"/>
      <w:r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>.</w:t>
      </w:r>
    </w:p>
    <w:p w:rsidR="00E702AE" w:rsidRPr="00E702AE" w:rsidRDefault="00E702AE" w:rsidP="00E702AE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</w:p>
    <w:p w:rsidR="00DE7411" w:rsidRPr="00E702AE" w:rsidRDefault="00E702AE" w:rsidP="00E702AE">
      <w:pPr>
        <w:pStyle w:val="Prrafodelist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26" w:hanging="142"/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 xml:space="preserve"> </w:t>
      </w:r>
      <w:r w:rsidR="00DE7411"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 xml:space="preserve">Será obligatorio el uso del </w:t>
      </w:r>
      <w:proofErr w:type="gramStart"/>
      <w:r w:rsidR="00DE7411"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>módulo ”</w:t>
      </w:r>
      <w:proofErr w:type="gramEnd"/>
      <w:r w:rsidR="00DE7411" w:rsidRPr="00E702AE">
        <w:rPr>
          <w:rFonts w:asciiTheme="majorHAnsi" w:eastAsia="Times New Roman" w:hAnsiTheme="majorHAnsi" w:cs="Times New Roman"/>
          <w:color w:val="999999"/>
          <w:sz w:val="26"/>
          <w:szCs w:val="26"/>
          <w:lang w:eastAsia="es-AR"/>
        </w:rPr>
        <w:t xml:space="preserve"> Comunicaciones Oficiales” – CC.OO -, del Sistema de Gestión Documental Electrónica – G.D.E -. como único medio de creación, comunicación y archivo de notas y memorandos, en las siguientes jurisdicciones y para los usuarios que fueran capacitados y habilitados: Secretaría de Energía e Hidrocarburos, Secretarías y Subsecretaría dependientes de la Secretaría de Estado.</w:t>
      </w:r>
    </w:p>
    <w:p w:rsidR="0094394D" w:rsidRPr="00E702AE" w:rsidRDefault="0094394D">
      <w:pPr>
        <w:rPr>
          <w:rFonts w:asciiTheme="majorHAnsi" w:hAnsiTheme="majorHAnsi"/>
          <w:sz w:val="26"/>
          <w:szCs w:val="26"/>
        </w:rPr>
      </w:pPr>
    </w:p>
    <w:sectPr w:rsidR="0094394D" w:rsidRPr="00E70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600"/>
    <w:multiLevelType w:val="hybridMultilevel"/>
    <w:tmpl w:val="FE549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5219"/>
    <w:multiLevelType w:val="hybridMultilevel"/>
    <w:tmpl w:val="96468F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0BC5"/>
    <w:multiLevelType w:val="multilevel"/>
    <w:tmpl w:val="485A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11"/>
    <w:rsid w:val="0094394D"/>
    <w:rsid w:val="00DE7411"/>
    <w:rsid w:val="00E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86EE90"/>
  <w15:chartTrackingRefBased/>
  <w15:docId w15:val="{4D441DA0-89C2-45BB-8F76-909DAC5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DE74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E7411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E7411"/>
    <w:rPr>
      <w:b/>
      <w:bCs/>
    </w:rPr>
  </w:style>
  <w:style w:type="paragraph" w:styleId="Prrafodelista">
    <w:name w:val="List Paragraph"/>
    <w:basedOn w:val="Normal"/>
    <w:uiPriority w:val="34"/>
    <w:qFormat/>
    <w:rsid w:val="00DE741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E70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Valcheff Christian Ruben</dc:creator>
  <cp:keywords/>
  <dc:description/>
  <cp:lastModifiedBy>Valcheff Christian Ruben</cp:lastModifiedBy>
  <cp:revision>2</cp:revision>
  <dcterms:created xsi:type="dcterms:W3CDTF">2024-05-14T18:47:00Z</dcterms:created>
  <dcterms:modified xsi:type="dcterms:W3CDTF">2024-05-14T18:58:00Z</dcterms:modified>
</cp:coreProperties>
</file>