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51" w:rsidRPr="000B1F51" w:rsidRDefault="000B1F51" w:rsidP="000B1F51">
      <w:pPr>
        <w:spacing w:after="96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111111"/>
          <w:spacing w:val="-10"/>
          <w:kern w:val="36"/>
          <w:sz w:val="96"/>
          <w:szCs w:val="96"/>
          <w:lang w:eastAsia="es-AR"/>
        </w:rPr>
      </w:pPr>
      <w:r w:rsidRPr="000B1F51">
        <w:rPr>
          <w:rFonts w:ascii="Helvetica" w:eastAsia="Times New Roman" w:hAnsi="Helvetica" w:cs="Helvetica"/>
          <w:b/>
          <w:bCs/>
          <w:color w:val="111111"/>
          <w:spacing w:val="-10"/>
          <w:kern w:val="36"/>
          <w:sz w:val="96"/>
          <w:szCs w:val="96"/>
          <w:lang w:eastAsia="es-AR"/>
        </w:rPr>
        <w:t xml:space="preserve">¿Qué son las migraciones, asociaciones y </w:t>
      </w:r>
      <w:proofErr w:type="spellStart"/>
      <w:r w:rsidRPr="000B1F51">
        <w:rPr>
          <w:rFonts w:ascii="Helvetica" w:eastAsia="Times New Roman" w:hAnsi="Helvetica" w:cs="Helvetica"/>
          <w:b/>
          <w:bCs/>
          <w:color w:val="111111"/>
          <w:spacing w:val="-10"/>
          <w:kern w:val="36"/>
          <w:sz w:val="96"/>
          <w:szCs w:val="96"/>
          <w:lang w:eastAsia="es-AR"/>
        </w:rPr>
        <w:t>farm-outs</w:t>
      </w:r>
      <w:proofErr w:type="spellEnd"/>
      <w:r w:rsidRPr="000B1F51">
        <w:rPr>
          <w:rFonts w:ascii="Helvetica" w:eastAsia="Times New Roman" w:hAnsi="Helvetica" w:cs="Helvetica"/>
          <w:b/>
          <w:bCs/>
          <w:color w:val="111111"/>
          <w:spacing w:val="-10"/>
          <w:kern w:val="36"/>
          <w:sz w:val="96"/>
          <w:szCs w:val="96"/>
          <w:lang w:eastAsia="es-AR"/>
        </w:rPr>
        <w:t>?</w:t>
      </w:r>
    </w:p>
    <w:p w:rsidR="000B1F51" w:rsidRPr="000B1F51" w:rsidRDefault="000B1F51" w:rsidP="000B1F51">
      <w:pPr>
        <w:spacing w:after="0" w:line="240" w:lineRule="auto"/>
        <w:textAlignment w:val="baseline"/>
        <w:rPr>
          <w:rFonts w:ascii="inherit" w:eastAsia="Times New Roman" w:hAnsi="inherit" w:cs="Times New Roman"/>
          <w:color w:val="A0A0A0"/>
          <w:sz w:val="20"/>
          <w:szCs w:val="20"/>
          <w:lang w:eastAsia="es-AR"/>
        </w:rPr>
      </w:pPr>
      <w:r w:rsidRPr="000B1F51">
        <w:rPr>
          <w:rFonts w:ascii="inherit" w:eastAsia="Times New Roman" w:hAnsi="inherit" w:cs="Times New Roman"/>
          <w:noProof/>
          <w:color w:val="A0A0A0"/>
          <w:sz w:val="20"/>
          <w:szCs w:val="20"/>
          <w:lang w:eastAsia="es-AR"/>
        </w:rPr>
        <w:drawing>
          <wp:inline distT="0" distB="0" distL="0" distR="0">
            <wp:extent cx="762000" cy="762000"/>
            <wp:effectExtent l="0" t="0" r="0" b="0"/>
            <wp:docPr id="4" name="Imagen 4" descr="Staff Oil &amp; Gas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ff Oil &amp; Gas Magaz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F51">
        <w:rPr>
          <w:rFonts w:ascii="inherit" w:eastAsia="Times New Roman" w:hAnsi="inherit" w:cs="Times New Roman"/>
          <w:color w:val="A0A0A0"/>
          <w:sz w:val="20"/>
          <w:szCs w:val="20"/>
          <w:lang w:eastAsia="es-AR"/>
        </w:rPr>
        <w:t> </w:t>
      </w:r>
      <w:proofErr w:type="spellStart"/>
      <w:r w:rsidRPr="000B1F51">
        <w:rPr>
          <w:rFonts w:ascii="inherit" w:eastAsia="Times New Roman" w:hAnsi="inherit" w:cs="Times New Roman"/>
          <w:color w:val="A0A0A0"/>
          <w:sz w:val="20"/>
          <w:szCs w:val="20"/>
          <w:bdr w:val="none" w:sz="0" w:space="0" w:color="auto" w:frame="1"/>
          <w:lang w:eastAsia="es-AR"/>
        </w:rPr>
        <w:t>by</w:t>
      </w:r>
      <w:proofErr w:type="spellEnd"/>
      <w:r w:rsidRPr="000B1F51">
        <w:rPr>
          <w:rFonts w:ascii="inherit" w:eastAsia="Times New Roman" w:hAnsi="inherit" w:cs="Times New Roman"/>
          <w:color w:val="A0A0A0"/>
          <w:sz w:val="20"/>
          <w:szCs w:val="20"/>
          <w:lang w:eastAsia="es-AR"/>
        </w:rPr>
        <w:t> </w:t>
      </w:r>
      <w:hyperlink r:id="rId6" w:history="1">
        <w:r w:rsidRPr="000B1F51">
          <w:rPr>
            <w:rFonts w:ascii="inherit" w:eastAsia="Times New Roman" w:hAnsi="inherit" w:cs="Times New Roman"/>
            <w:b/>
            <w:bCs/>
            <w:color w:val="174E96"/>
            <w:sz w:val="20"/>
            <w:szCs w:val="20"/>
            <w:bdr w:val="none" w:sz="0" w:space="0" w:color="auto" w:frame="1"/>
            <w:lang w:eastAsia="es-AR"/>
          </w:rPr>
          <w:t xml:space="preserve">Staff </w:t>
        </w:r>
        <w:proofErr w:type="spellStart"/>
        <w:r w:rsidRPr="000B1F51">
          <w:rPr>
            <w:rFonts w:ascii="inherit" w:eastAsia="Times New Roman" w:hAnsi="inherit" w:cs="Times New Roman"/>
            <w:b/>
            <w:bCs/>
            <w:color w:val="174E96"/>
            <w:sz w:val="20"/>
            <w:szCs w:val="20"/>
            <w:bdr w:val="none" w:sz="0" w:space="0" w:color="auto" w:frame="1"/>
            <w:lang w:eastAsia="es-AR"/>
          </w:rPr>
          <w:t>Oil</w:t>
        </w:r>
        <w:proofErr w:type="spellEnd"/>
        <w:r w:rsidRPr="000B1F51">
          <w:rPr>
            <w:rFonts w:ascii="inherit" w:eastAsia="Times New Roman" w:hAnsi="inherit" w:cs="Times New Roman"/>
            <w:b/>
            <w:bCs/>
            <w:color w:val="174E96"/>
            <w:sz w:val="20"/>
            <w:szCs w:val="20"/>
            <w:bdr w:val="none" w:sz="0" w:space="0" w:color="auto" w:frame="1"/>
            <w:lang w:eastAsia="es-AR"/>
          </w:rPr>
          <w:t xml:space="preserve"> &amp; Gas Magazine</w:t>
        </w:r>
      </w:hyperlink>
    </w:p>
    <w:p w:rsidR="000B1F51" w:rsidRPr="000B1F51" w:rsidRDefault="000B1F51" w:rsidP="000B1F51">
      <w:pPr>
        <w:spacing w:after="0" w:line="240" w:lineRule="auto"/>
        <w:textAlignment w:val="baseline"/>
        <w:rPr>
          <w:rFonts w:ascii="inherit" w:eastAsia="Times New Roman" w:hAnsi="inherit" w:cs="Times New Roman"/>
          <w:color w:val="A0A0A0"/>
          <w:sz w:val="20"/>
          <w:szCs w:val="20"/>
          <w:lang w:eastAsia="es-AR"/>
        </w:rPr>
      </w:pPr>
      <w:r w:rsidRPr="000B1F51">
        <w:rPr>
          <w:rFonts w:ascii="inherit" w:eastAsia="Times New Roman" w:hAnsi="inherit" w:cs="Times New Roman"/>
          <w:color w:val="A0A0A0"/>
          <w:sz w:val="20"/>
          <w:szCs w:val="20"/>
          <w:lang w:eastAsia="es-AR"/>
        </w:rPr>
        <w:t> </w:t>
      </w:r>
    </w:p>
    <w:p w:rsidR="000B1F51" w:rsidRPr="000B1F51" w:rsidRDefault="000B1F51" w:rsidP="000B1F51">
      <w:pPr>
        <w:spacing w:after="0" w:line="240" w:lineRule="auto"/>
        <w:textAlignment w:val="baseline"/>
        <w:rPr>
          <w:rFonts w:ascii="inherit" w:eastAsia="Times New Roman" w:hAnsi="inherit" w:cs="Times New Roman"/>
          <w:color w:val="A0A0A0"/>
          <w:sz w:val="20"/>
          <w:szCs w:val="20"/>
          <w:lang w:eastAsia="es-AR"/>
        </w:rPr>
      </w:pPr>
      <w:r w:rsidRPr="000B1F51">
        <w:rPr>
          <w:rFonts w:ascii="inherit" w:eastAsia="Times New Roman" w:hAnsi="inherit" w:cs="Times New Roman"/>
          <w:color w:val="A0A0A0"/>
          <w:sz w:val="20"/>
          <w:szCs w:val="20"/>
          <w:lang w:eastAsia="es-AR"/>
        </w:rPr>
        <w:t> </w:t>
      </w:r>
      <w:hyperlink r:id="rId7" w:history="1">
        <w:r w:rsidRPr="000B1F51">
          <w:rPr>
            <w:rFonts w:ascii="inherit" w:eastAsia="Times New Roman" w:hAnsi="inherit" w:cs="Times New Roman"/>
            <w:color w:val="0000FF"/>
            <w:sz w:val="20"/>
            <w:szCs w:val="20"/>
            <w:bdr w:val="none" w:sz="0" w:space="0" w:color="auto" w:frame="1"/>
            <w:lang w:eastAsia="es-AR"/>
          </w:rPr>
          <w:t>marzo 10, 2023</w:t>
        </w:r>
      </w:hyperlink>
    </w:p>
    <w:p w:rsidR="000B1F51" w:rsidRPr="000B1F51" w:rsidRDefault="000B1F51" w:rsidP="000B1F51">
      <w:pPr>
        <w:spacing w:line="240" w:lineRule="auto"/>
        <w:textAlignment w:val="baseline"/>
        <w:rPr>
          <w:rFonts w:ascii="inherit" w:eastAsia="Times New Roman" w:hAnsi="inherit" w:cs="Times New Roman"/>
          <w:color w:val="A0A0A0"/>
          <w:sz w:val="20"/>
          <w:szCs w:val="20"/>
          <w:lang w:eastAsia="es-AR"/>
        </w:rPr>
      </w:pPr>
      <w:r w:rsidRPr="000B1F51">
        <w:rPr>
          <w:rFonts w:ascii="inherit" w:eastAsia="Times New Roman" w:hAnsi="inherit" w:cs="Times New Roman"/>
          <w:color w:val="A0A0A0"/>
          <w:sz w:val="20"/>
          <w:szCs w:val="20"/>
          <w:lang w:eastAsia="es-AR"/>
        </w:rPr>
        <w:t> </w:t>
      </w:r>
    </w:p>
    <w:p w:rsidR="000B1F51" w:rsidRPr="000B1F51" w:rsidRDefault="000B1F51" w:rsidP="000B1F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4E96"/>
          <w:sz w:val="24"/>
          <w:szCs w:val="24"/>
          <w:bdr w:val="none" w:sz="0" w:space="0" w:color="auto" w:frame="1"/>
          <w:lang w:eastAsia="es-AR"/>
        </w:rPr>
      </w:pPr>
      <w:r w:rsidRPr="000B1F51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begin"/>
      </w:r>
      <w:r w:rsidRPr="000B1F51">
        <w:rPr>
          <w:rFonts w:ascii="Times New Roman" w:eastAsia="Times New Roman" w:hAnsi="Times New Roman" w:cs="Times New Roman"/>
          <w:sz w:val="24"/>
          <w:szCs w:val="24"/>
          <w:lang w:eastAsia="es-AR"/>
        </w:rPr>
        <w:instrText xml:space="preserve"> HYPERLINK "https://i0.wp.com/oilandgasmagazine.com.mx/wp-content/uploads/2020/05/Depositphotos_7977925_m.jpg?fit=1634%2C1224&amp;ssl=1" </w:instrText>
      </w:r>
      <w:r w:rsidRPr="000B1F51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separate"/>
      </w:r>
    </w:p>
    <w:p w:rsidR="000B1F51" w:rsidRPr="000B1F51" w:rsidRDefault="000B1F51" w:rsidP="000B1F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1F51">
        <w:rPr>
          <w:rFonts w:ascii="Times New Roman" w:eastAsia="Times New Roman" w:hAnsi="Times New Roman" w:cs="Times New Roman"/>
          <w:noProof/>
          <w:color w:val="174E96"/>
          <w:sz w:val="24"/>
          <w:szCs w:val="24"/>
          <w:bdr w:val="none" w:sz="0" w:space="0" w:color="auto" w:frame="1"/>
          <w:lang w:eastAsia="es-AR"/>
        </w:rPr>
        <w:drawing>
          <wp:inline distT="0" distB="0" distL="0" distR="0">
            <wp:extent cx="7143750" cy="3571875"/>
            <wp:effectExtent l="0" t="0" r="0" b="9525"/>
            <wp:docPr id="3" name="Imagen 3" descr="Wintershall De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tershall De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F51" w:rsidRPr="000B1F51" w:rsidRDefault="000B1F51" w:rsidP="000B1F51">
      <w:pPr>
        <w:spacing w:before="45" w:after="0" w:line="240" w:lineRule="auto"/>
        <w:jc w:val="right"/>
        <w:textAlignment w:val="baseline"/>
        <w:rPr>
          <w:rFonts w:ascii="inherit" w:eastAsia="Times New Roman" w:hAnsi="inherit" w:cs="Times New Roman"/>
          <w:color w:val="A0A0A0"/>
          <w:sz w:val="17"/>
          <w:szCs w:val="17"/>
          <w:bdr w:val="none" w:sz="0" w:space="0" w:color="auto" w:frame="1"/>
          <w:lang w:eastAsia="es-AR"/>
        </w:rPr>
      </w:pPr>
      <w:r w:rsidRPr="000B1F51">
        <w:rPr>
          <w:rFonts w:ascii="inherit" w:eastAsia="Times New Roman" w:hAnsi="inherit" w:cs="Times New Roman"/>
          <w:color w:val="A0A0A0"/>
          <w:sz w:val="17"/>
          <w:szCs w:val="17"/>
          <w:bdr w:val="none" w:sz="0" w:space="0" w:color="auto" w:frame="1"/>
          <w:lang w:eastAsia="es-AR"/>
        </w:rPr>
        <w:t xml:space="preserve">© </w:t>
      </w:r>
      <w:proofErr w:type="spellStart"/>
      <w:r w:rsidRPr="000B1F51">
        <w:rPr>
          <w:rFonts w:ascii="inherit" w:eastAsia="Times New Roman" w:hAnsi="inherit" w:cs="Times New Roman"/>
          <w:color w:val="A0A0A0"/>
          <w:sz w:val="17"/>
          <w:szCs w:val="17"/>
          <w:bdr w:val="none" w:sz="0" w:space="0" w:color="auto" w:frame="1"/>
          <w:lang w:eastAsia="es-AR"/>
        </w:rPr>
        <w:t>Depositphotos</w:t>
      </w:r>
      <w:proofErr w:type="spellEnd"/>
    </w:p>
    <w:p w:rsidR="000B1F51" w:rsidRPr="000B1F51" w:rsidRDefault="000B1F51" w:rsidP="000B1F5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1F51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fldChar w:fldCharType="end"/>
      </w:r>
    </w:p>
    <w:p w:rsidR="000B1F51" w:rsidRPr="000B1F51" w:rsidRDefault="000B1F51" w:rsidP="000B1F5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174E96"/>
          <w:sz w:val="39"/>
          <w:szCs w:val="39"/>
          <w:lang w:eastAsia="es-AR"/>
        </w:rPr>
      </w:pPr>
      <w:r w:rsidRPr="000B1F51">
        <w:rPr>
          <w:rFonts w:ascii="inherit" w:eastAsia="Times New Roman" w:hAnsi="inherit" w:cs="Times New Roman"/>
          <w:b/>
          <w:bCs/>
          <w:color w:val="174E96"/>
          <w:sz w:val="39"/>
          <w:szCs w:val="39"/>
          <w:lang w:eastAsia="es-AR"/>
        </w:rPr>
        <w:t>377</w:t>
      </w:r>
    </w:p>
    <w:p w:rsidR="000B1F51" w:rsidRPr="000B1F51" w:rsidRDefault="000B1F51" w:rsidP="000B1F5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es-AR"/>
        </w:rPr>
      </w:pPr>
      <w:r w:rsidRPr="000B1F51">
        <w:rPr>
          <w:rFonts w:ascii="inherit" w:eastAsia="Times New Roman" w:hAnsi="inherit" w:cs="Times New Roman"/>
          <w:color w:val="A0A0A0"/>
          <w:sz w:val="17"/>
          <w:szCs w:val="17"/>
          <w:bdr w:val="none" w:sz="0" w:space="0" w:color="auto" w:frame="1"/>
          <w:lang w:eastAsia="es-AR"/>
        </w:rPr>
        <w:t>SHARES</w:t>
      </w:r>
    </w:p>
    <w:p w:rsidR="000B1F51" w:rsidRPr="000B1F51" w:rsidRDefault="000B1F51" w:rsidP="000B1F5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39"/>
          <w:szCs w:val="39"/>
          <w:lang w:eastAsia="es-AR"/>
        </w:rPr>
      </w:pPr>
      <w:r w:rsidRPr="000B1F51">
        <w:rPr>
          <w:rFonts w:ascii="inherit" w:eastAsia="Times New Roman" w:hAnsi="inherit" w:cs="Times New Roman"/>
          <w:b/>
          <w:bCs/>
          <w:sz w:val="39"/>
          <w:szCs w:val="39"/>
          <w:lang w:eastAsia="es-AR"/>
        </w:rPr>
        <w:t>2.7k</w:t>
      </w:r>
    </w:p>
    <w:p w:rsidR="000B1F51" w:rsidRPr="000B1F51" w:rsidRDefault="000B1F51" w:rsidP="000B1F5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es-AR"/>
        </w:rPr>
      </w:pPr>
      <w:r w:rsidRPr="000B1F51">
        <w:rPr>
          <w:rFonts w:ascii="inherit" w:eastAsia="Times New Roman" w:hAnsi="inherit" w:cs="Times New Roman"/>
          <w:color w:val="A0A0A0"/>
          <w:sz w:val="17"/>
          <w:szCs w:val="17"/>
          <w:bdr w:val="none" w:sz="0" w:space="0" w:color="auto" w:frame="1"/>
          <w:lang w:eastAsia="es-AR"/>
        </w:rPr>
        <w:t>VIEWS</w:t>
      </w:r>
    </w:p>
    <w:p w:rsidR="000B1F51" w:rsidRPr="000B1F51" w:rsidRDefault="000B1F51" w:rsidP="000B1F5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10" w:history="1">
        <w:r w:rsidRPr="000B1F51">
          <w:rPr>
            <w:rFonts w:ascii="inherit" w:eastAsia="Times New Roman" w:hAnsi="inherit" w:cs="Times New Roman"/>
            <w:b/>
            <w:bCs/>
            <w:color w:val="FFFFFF"/>
            <w:sz w:val="20"/>
            <w:szCs w:val="20"/>
            <w:bdr w:val="none" w:sz="0" w:space="0" w:color="auto" w:frame="1"/>
            <w:shd w:val="clear" w:color="auto" w:fill="45629F"/>
            <w:lang w:eastAsia="es-AR"/>
          </w:rPr>
          <w:t xml:space="preserve">Comparte en </w:t>
        </w:r>
        <w:proofErr w:type="spellStart"/>
        <w:r w:rsidRPr="000B1F51">
          <w:rPr>
            <w:rFonts w:ascii="inherit" w:eastAsia="Times New Roman" w:hAnsi="inherit" w:cs="Times New Roman"/>
            <w:b/>
            <w:bCs/>
            <w:color w:val="FFFFFF"/>
            <w:sz w:val="20"/>
            <w:szCs w:val="20"/>
            <w:bdr w:val="none" w:sz="0" w:space="0" w:color="auto" w:frame="1"/>
            <w:shd w:val="clear" w:color="auto" w:fill="45629F"/>
            <w:lang w:eastAsia="es-AR"/>
          </w:rPr>
          <w:t>Facebook</w:t>
        </w:r>
      </w:hyperlink>
      <w:hyperlink r:id="rId11" w:history="1">
        <w:r w:rsidRPr="000B1F51">
          <w:rPr>
            <w:rFonts w:ascii="inherit" w:eastAsia="Times New Roman" w:hAnsi="inherit" w:cs="Times New Roman"/>
            <w:b/>
            <w:bCs/>
            <w:color w:val="FFFFFF"/>
            <w:sz w:val="20"/>
            <w:szCs w:val="20"/>
            <w:bdr w:val="none" w:sz="0" w:space="0" w:color="auto" w:frame="1"/>
            <w:shd w:val="clear" w:color="auto" w:fill="000000"/>
            <w:lang w:eastAsia="es-AR"/>
          </w:rPr>
          <w:t>Comparte</w:t>
        </w:r>
        <w:proofErr w:type="spellEnd"/>
        <w:r w:rsidRPr="000B1F51">
          <w:rPr>
            <w:rFonts w:ascii="inherit" w:eastAsia="Times New Roman" w:hAnsi="inherit" w:cs="Times New Roman"/>
            <w:b/>
            <w:bCs/>
            <w:color w:val="FFFFFF"/>
            <w:sz w:val="20"/>
            <w:szCs w:val="20"/>
            <w:bdr w:val="none" w:sz="0" w:space="0" w:color="auto" w:frame="1"/>
            <w:shd w:val="clear" w:color="auto" w:fill="000000"/>
            <w:lang w:eastAsia="es-AR"/>
          </w:rPr>
          <w:t xml:space="preserve"> en </w:t>
        </w:r>
        <w:proofErr w:type="spellStart"/>
        <w:r w:rsidRPr="000B1F51">
          <w:rPr>
            <w:rFonts w:ascii="inherit" w:eastAsia="Times New Roman" w:hAnsi="inherit" w:cs="Times New Roman"/>
            <w:b/>
            <w:bCs/>
            <w:color w:val="FFFFFF"/>
            <w:sz w:val="20"/>
            <w:szCs w:val="20"/>
            <w:bdr w:val="none" w:sz="0" w:space="0" w:color="auto" w:frame="1"/>
            <w:shd w:val="clear" w:color="auto" w:fill="000000"/>
            <w:lang w:eastAsia="es-AR"/>
          </w:rPr>
          <w:t>Twitter</w:t>
        </w:r>
      </w:hyperlink>
      <w:hyperlink r:id="rId12" w:history="1">
        <w:r w:rsidRPr="000B1F51">
          <w:rPr>
            <w:rFonts w:ascii="inherit" w:eastAsia="Times New Roman" w:hAnsi="inherit" w:cs="Times New Roman"/>
            <w:b/>
            <w:bCs/>
            <w:color w:val="FFFFFF"/>
            <w:sz w:val="20"/>
            <w:szCs w:val="20"/>
            <w:bdr w:val="none" w:sz="0" w:space="0" w:color="auto" w:frame="1"/>
            <w:shd w:val="clear" w:color="auto" w:fill="0083BB"/>
            <w:lang w:eastAsia="es-AR"/>
          </w:rPr>
          <w:t>Comparte</w:t>
        </w:r>
        <w:proofErr w:type="spellEnd"/>
        <w:r w:rsidRPr="000B1F51">
          <w:rPr>
            <w:rFonts w:ascii="inherit" w:eastAsia="Times New Roman" w:hAnsi="inherit" w:cs="Times New Roman"/>
            <w:b/>
            <w:bCs/>
            <w:color w:val="FFFFFF"/>
            <w:sz w:val="20"/>
            <w:szCs w:val="20"/>
            <w:bdr w:val="none" w:sz="0" w:space="0" w:color="auto" w:frame="1"/>
            <w:shd w:val="clear" w:color="auto" w:fill="0083BB"/>
            <w:lang w:eastAsia="es-AR"/>
          </w:rPr>
          <w:t xml:space="preserve"> en </w:t>
        </w:r>
        <w:proofErr w:type="spellStart"/>
        <w:r w:rsidRPr="000B1F51">
          <w:rPr>
            <w:rFonts w:ascii="inherit" w:eastAsia="Times New Roman" w:hAnsi="inherit" w:cs="Times New Roman"/>
            <w:b/>
            <w:bCs/>
            <w:color w:val="FFFFFF"/>
            <w:sz w:val="20"/>
            <w:szCs w:val="20"/>
            <w:bdr w:val="none" w:sz="0" w:space="0" w:color="auto" w:frame="1"/>
            <w:shd w:val="clear" w:color="auto" w:fill="0083BB"/>
            <w:lang w:eastAsia="es-AR"/>
          </w:rPr>
          <w:t>Linkedin</w:t>
        </w:r>
      </w:hyperlink>
      <w:hyperlink r:id="rId13" w:history="1">
        <w:r w:rsidRPr="000B1F51">
          <w:rPr>
            <w:rFonts w:ascii="inherit" w:eastAsia="Times New Roman" w:hAnsi="inherit" w:cs="Times New Roman"/>
            <w:b/>
            <w:bCs/>
            <w:color w:val="FFFFFF"/>
            <w:sz w:val="20"/>
            <w:szCs w:val="20"/>
            <w:bdr w:val="none" w:sz="0" w:space="0" w:color="auto" w:frame="1"/>
            <w:shd w:val="clear" w:color="auto" w:fill="075E54"/>
            <w:lang w:eastAsia="es-AR"/>
          </w:rPr>
          <w:t>Comparte</w:t>
        </w:r>
        <w:proofErr w:type="spellEnd"/>
        <w:r w:rsidRPr="000B1F51">
          <w:rPr>
            <w:rFonts w:ascii="inherit" w:eastAsia="Times New Roman" w:hAnsi="inherit" w:cs="Times New Roman"/>
            <w:b/>
            <w:bCs/>
            <w:color w:val="FFFFFF"/>
            <w:sz w:val="20"/>
            <w:szCs w:val="20"/>
            <w:bdr w:val="none" w:sz="0" w:space="0" w:color="auto" w:frame="1"/>
            <w:shd w:val="clear" w:color="auto" w:fill="075E54"/>
            <w:lang w:eastAsia="es-AR"/>
          </w:rPr>
          <w:t xml:space="preserve"> en </w:t>
        </w:r>
        <w:proofErr w:type="spellStart"/>
        <w:r w:rsidRPr="000B1F51">
          <w:rPr>
            <w:rFonts w:ascii="inherit" w:eastAsia="Times New Roman" w:hAnsi="inherit" w:cs="Times New Roman"/>
            <w:b/>
            <w:bCs/>
            <w:color w:val="FFFFFF"/>
            <w:sz w:val="20"/>
            <w:szCs w:val="20"/>
            <w:bdr w:val="none" w:sz="0" w:space="0" w:color="auto" w:frame="1"/>
            <w:shd w:val="clear" w:color="auto" w:fill="075E54"/>
            <w:lang w:eastAsia="es-AR"/>
          </w:rPr>
          <w:t>Whatsapp</w:t>
        </w:r>
        <w:proofErr w:type="spellEnd"/>
      </w:hyperlink>
    </w:p>
    <w:p w:rsidR="000B1F51" w:rsidRPr="000B1F51" w:rsidRDefault="000B1F51" w:rsidP="000B1F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174E96"/>
          <w:sz w:val="21"/>
          <w:szCs w:val="21"/>
          <w:bdr w:val="none" w:sz="0" w:space="0" w:color="auto" w:frame="1"/>
          <w:lang w:eastAsia="es-AR"/>
        </w:rPr>
      </w:pPr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fldChar w:fldCharType="begin"/>
      </w:r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instrText xml:space="preserve"> HYPERLINK "https://oilandgasmagazine.com.mx/analiticos-publicidad/?sid=5&amp;bsa_pro_id=44&amp;bsa_pro_url=1" \t "_blank" </w:instrText>
      </w:r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fldChar w:fldCharType="separate"/>
      </w:r>
    </w:p>
    <w:p w:rsidR="000B1F51" w:rsidRPr="000B1F51" w:rsidRDefault="000B1F51" w:rsidP="000B1F51">
      <w:pPr>
        <w:shd w:val="clear" w:color="auto" w:fill="FFFFFF"/>
        <w:spacing w:line="390" w:lineRule="atLeast"/>
        <w:jc w:val="center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</w:pPr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fldChar w:fldCharType="end"/>
      </w:r>
    </w:p>
    <w:p w:rsidR="000B1F51" w:rsidRPr="000B1F51" w:rsidRDefault="000B1F51" w:rsidP="000B1F51">
      <w:pPr>
        <w:shd w:val="clear" w:color="auto" w:fill="FFFFFF"/>
        <w:spacing w:after="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0B1F51">
        <w:rPr>
          <w:rFonts w:ascii="inherit" w:eastAsia="Times New Roman" w:hAnsi="inherit" w:cs="Helvetica"/>
          <w:i/>
          <w:iCs/>
          <w:color w:val="333333"/>
          <w:sz w:val="24"/>
          <w:szCs w:val="24"/>
          <w:bdr w:val="none" w:sz="0" w:space="0" w:color="auto" w:frame="1"/>
          <w:lang w:eastAsia="es-AR"/>
        </w:rPr>
        <w:t xml:space="preserve">Por: </w:t>
      </w:r>
      <w:proofErr w:type="spellStart"/>
      <w:r w:rsidRPr="000B1F51">
        <w:rPr>
          <w:rFonts w:ascii="inherit" w:eastAsia="Times New Roman" w:hAnsi="inherit" w:cs="Helvetica"/>
          <w:i/>
          <w:iCs/>
          <w:color w:val="333333"/>
          <w:sz w:val="24"/>
          <w:szCs w:val="24"/>
          <w:bdr w:val="none" w:sz="0" w:space="0" w:color="auto" w:frame="1"/>
          <w:lang w:eastAsia="es-AR"/>
        </w:rPr>
        <w:t>Ayax</w:t>
      </w:r>
      <w:proofErr w:type="spellEnd"/>
      <w:r w:rsidRPr="000B1F51">
        <w:rPr>
          <w:rFonts w:ascii="inherit" w:eastAsia="Times New Roman" w:hAnsi="inherit" w:cs="Helvetica"/>
          <w:i/>
          <w:iCs/>
          <w:color w:val="333333"/>
          <w:sz w:val="24"/>
          <w:szCs w:val="24"/>
          <w:bdr w:val="none" w:sz="0" w:space="0" w:color="auto" w:frame="1"/>
          <w:lang w:eastAsia="es-AR"/>
        </w:rPr>
        <w:t xml:space="preserve"> Gutiérrez </w:t>
      </w:r>
      <w:proofErr w:type="spellStart"/>
      <w:r w:rsidRPr="000B1F51">
        <w:rPr>
          <w:rFonts w:ascii="inherit" w:eastAsia="Times New Roman" w:hAnsi="inherit" w:cs="Helvetica"/>
          <w:i/>
          <w:iCs/>
          <w:color w:val="333333"/>
          <w:sz w:val="24"/>
          <w:szCs w:val="24"/>
          <w:bdr w:val="none" w:sz="0" w:space="0" w:color="auto" w:frame="1"/>
          <w:lang w:eastAsia="es-AR"/>
        </w:rPr>
        <w:t>Villascán</w:t>
      </w:r>
      <w:proofErr w:type="spellEnd"/>
      <w:r w:rsidRPr="000B1F51">
        <w:rPr>
          <w:rFonts w:ascii="inherit" w:eastAsia="Times New Roman" w:hAnsi="inherit" w:cs="Helvetica"/>
          <w:i/>
          <w:iCs/>
          <w:color w:val="333333"/>
          <w:sz w:val="24"/>
          <w:szCs w:val="24"/>
          <w:bdr w:val="none" w:sz="0" w:space="0" w:color="auto" w:frame="1"/>
          <w:lang w:eastAsia="es-AR"/>
        </w:rPr>
        <w:t>.</w:t>
      </w:r>
    </w:p>
    <w:p w:rsidR="000B1F51" w:rsidRPr="000B1F51" w:rsidRDefault="000B1F51" w:rsidP="000B1F51">
      <w:pPr>
        <w:shd w:val="clear" w:color="auto" w:fill="FFFFFF"/>
        <w:spacing w:line="390" w:lineRule="atLeast"/>
        <w:jc w:val="center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bookmarkStart w:id="0" w:name="_GoBack"/>
      <w:bookmarkEnd w:id="0"/>
    </w:p>
    <w:p w:rsidR="000B1F51" w:rsidRPr="000B1F51" w:rsidRDefault="000B1F51" w:rsidP="000B1F51">
      <w:pPr>
        <w:shd w:val="clear" w:color="auto" w:fill="FFFFFF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Estos conceptos nos permiten comprender la dinámica que se da en el desarrollo de las actividades de exploración y extracción de hidrocarburos. Primero es necesario contextualizar que las migraciones derivan de las asignaciones que se otorgan a Pemex o de los Contratos Integrales de Exploración y Producción (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CIEPs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) y los Contratos de Obra Pública Financiada (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COPFs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) suscritos previo a la Reforma Energética de 2013. Partiendo de esto, Pemex puede asociarse con inversionistas para llevar a cabo las actividades de exploración y extracción de las áreas que le sean asignadas de manera más eficiente.</w:t>
      </w:r>
    </w:p>
    <w:p w:rsidR="000B1F51" w:rsidRPr="000B1F51" w:rsidRDefault="000B1F51" w:rsidP="000B1F51">
      <w:pPr>
        <w:shd w:val="clear" w:color="auto" w:fill="FFFFFF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No debemos confundir la migración en términos técnico-petroleros a la migración como instrumento jurídico estipulado en la reciente reforma energética. Técnicamente, la migración es el movimiento de aceite y/o gas en los poros y/o discontinuidades de las rocas (porosidad primaria y secundaria) en el interior de la corteza terrestre. Mientras que como instrumento jurídico implica el cambio de una asignación o de los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CIEPs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y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COPFs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aún vigentes; a un contrato petrolero de exploración y extracción de hidrocarburos del esquema actual de contratación petrolera.</w:t>
      </w:r>
    </w:p>
    <w:p w:rsidR="000B1F51" w:rsidRPr="000B1F51" w:rsidRDefault="000B1F51" w:rsidP="000B1F51">
      <w:pPr>
        <w:shd w:val="clear" w:color="auto" w:fill="FFFFFF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Originalmente Pemex realizó estudios y determinó las áreas que podrían ser migradas a CEE. Es así que programó la migración de esas áreas en dos fases. La primera incluía las áreas que operaban bajo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CIEPs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y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COPFs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y la segunda conforme a las áreas que se le asignaron en la ronda cero y buscaba realizar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farm-outs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.</w:t>
      </w:r>
    </w:p>
    <w:p w:rsidR="000B1F51" w:rsidRPr="000B1F51" w:rsidRDefault="000B1F51" w:rsidP="000B1F51">
      <w:pPr>
        <w:shd w:val="clear" w:color="auto" w:fill="FFFFFF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lastRenderedPageBreak/>
        <w:t xml:space="preserve">A través de los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farm-outs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las compañías pueden establecer asociaciones con Pemex mediante procesos de licitación para potenciar el desarrollo de los campos y áreas asignadas a la Empresa Productiva del Estado mediante la Ronda Cero. Dichas migraciones deben presentar los beneficios para el Estado en términos de producción, inversión y reservas. Pemex ha solicitado la migración (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farm-out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) de 14 campos asignados hacia 8 nuevos contratos.</w:t>
      </w:r>
    </w:p>
    <w:p w:rsidR="000B1F51" w:rsidRPr="000B1F51" w:rsidRDefault="000B1F51" w:rsidP="000B1F51">
      <w:pPr>
        <w:shd w:val="clear" w:color="auto" w:fill="FFFFFF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Es necesario recalcar que esta práctica del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farm-out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es muy recurrida en la industria petrolera, y se utiliza para la adquisición de derechos sobre áreas de exploración y extracción de hidrocarburos entre empresas petroleras estatales o privadas. El complemento del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farm-out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es el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farm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-in, este último es el interés de una empresa petrolera por “entrar” a ser parte socia del proyecto petrolero de otra empresa; la parte que “entra o llega” al proyecto se le conoce como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farmee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, y se compromete a asumir cierta porción del costo de los trabajos petroleros. Y la otra parte que es la empresa dueña inicialmente y creadora del proyecto, se le denomina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farmor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, </w:t>
      </w:r>
      <w:proofErr w:type="gram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quien</w:t>
      </w:r>
      <w:proofErr w:type="gram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a cambio de otorgar cierta porción de sus derechos, recibe apoyo económico y financiero, además de ver reducidos sus riesgos petroleros al dividirlos con la otra parte.</w:t>
      </w:r>
    </w:p>
    <w:p w:rsidR="000B1F51" w:rsidRPr="000B1F51" w:rsidRDefault="000B1F51" w:rsidP="000B1F51">
      <w:pPr>
        <w:shd w:val="clear" w:color="auto" w:fill="FFFFFF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Los beneficios para el cedente o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farmor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son: la diversificación del riesgo y la creación de un grupo más sólido como titular de los derechos petroleros. Para el cesionario o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farmee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son: obtener diversificación de sus portafolios de inversión y obtener áreas petroleras de forma más económica y con menor riesgo.</w:t>
      </w:r>
    </w:p>
    <w:p w:rsidR="000B1F51" w:rsidRPr="000B1F51" w:rsidRDefault="000B1F51" w:rsidP="000B1F51">
      <w:pPr>
        <w:shd w:val="clear" w:color="auto" w:fill="FFFFFF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El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farm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-in/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out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, es la cesión parcial de derechos de exploración y extracción en favor de un tercero que abonará por esos derechos un precio en especio o dinero, destinado a llevar a cabo las tareas petrolera para el desarrollo de hidrocarburos. Las operaciones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farm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-in/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out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pueden darse tanto en la etapa exploratoria, durante la evaluación o incluso en la fase de desarrollo de hidrocarburos en un yacimiento y en algunos casos este debe ser declarado comercialmente recuperable para que la transacción surta efectos.</w:t>
      </w:r>
    </w:p>
    <w:p w:rsidR="000B1F51" w:rsidRPr="000B1F51" w:rsidRDefault="000B1F51" w:rsidP="000B1F51">
      <w:pPr>
        <w:shd w:val="clear" w:color="auto" w:fill="FFFFFF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lastRenderedPageBreak/>
        <w:t xml:space="preserve">A manera de ejemplo manifestamos que Pemex al buscar socio petrolero realiza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farm-out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, y la empresa petrolera que se interesa en entrar al proyecto de Pemex para asociarse con él realiza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farm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-in.</w:t>
      </w:r>
    </w:p>
    <w:p w:rsidR="000B1F51" w:rsidRPr="000B1F51" w:rsidRDefault="000B1F51" w:rsidP="000B1F51">
      <w:pPr>
        <w:shd w:val="clear" w:color="auto" w:fill="FFFFFF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Con base en lo anterior, la migración de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CIEPs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y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COPFs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y los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farm-outs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permitirán a PEMEX establecer alianzas más efectivas con petroleras nacionales o internacionales para allegarse del capital y la tecnología necesarios para aprovechar sus recursos de manera óptima, estabilizar su nivel de producción y acelerar el ritmo de restitución de reservas.</w:t>
      </w:r>
    </w:p>
    <w:p w:rsidR="000B1F51" w:rsidRPr="000B1F51" w:rsidRDefault="000B1F51" w:rsidP="000B1F51">
      <w:pPr>
        <w:shd w:val="clear" w:color="auto" w:fill="FFFFFF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Las asociaciones de Pemex con otras compañías petroleras ya sea que deriven de asignaciones o licitaciones para contratos petroleros, se regulan anexamente con los acuerdos de operación conjunta o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joint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operating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agreements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(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JOAs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por sus siglas en inglés). Un JOA es un acuerdo en el cual dos o más partes se comprometen en tareas conjuntas para explorar y extraer un área de hidrocarburos.</w:t>
      </w:r>
    </w:p>
    <w:p w:rsidR="000B1F51" w:rsidRPr="000B1F51" w:rsidRDefault="000B1F51" w:rsidP="000B1F51">
      <w:pPr>
        <w:spacing w:after="0" w:line="39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es-AR"/>
        </w:rPr>
      </w:pPr>
      <w:r w:rsidRPr="000B1F51">
        <w:rPr>
          <w:rFonts w:ascii="inherit" w:eastAsia="Times New Roman" w:hAnsi="inherit" w:cs="Times New Roman"/>
          <w:noProof/>
          <w:color w:val="333333"/>
          <w:sz w:val="24"/>
          <w:szCs w:val="24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https://i1.wp.com/oilandgasmagazine.com.mx/wp-content/uploads/2019/08/%C2%BFQUE%CC%81_SON_LAS_MIGRACIONES__ASOCIACIONES_Y_FARM-OUTS-1.jpg?fit=1024%2C546&amp;ssl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40B3A2" id="Rectángulo 2" o:spid="_x0000_s1026" alt="https://i1.wp.com/oilandgasmagazine.com.mx/wp-content/uploads/2019/08/%C2%BFQUE%CC%81_SON_LAS_MIGRACIONES__ASOCIACIONES_Y_FARM-OUTS-1.jpg?fit=1024%2C546&amp;ssl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qQhVBQgMAAGQGAAAOAAAAAAAAAAAAAAAAAC4CAABkcnMvZTJvRG9jLnhtbFBL&#10;AQItABQABgAIAAAAIQBMoOks2AAAAAMBAAAPAAAAAAAAAAAAAAAAAJw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</w:p>
    <w:p w:rsidR="000B1F51" w:rsidRPr="000B1F51" w:rsidRDefault="000B1F51" w:rsidP="000B1F51">
      <w:pPr>
        <w:shd w:val="clear" w:color="auto" w:fill="FFFFFF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En los siguientes cuadros se muestran las partes, objetivo, y características del JOA.</w:t>
      </w:r>
    </w:p>
    <w:p w:rsidR="000B1F51" w:rsidRPr="000B1F51" w:rsidRDefault="000B1F51" w:rsidP="000B1F51">
      <w:pPr>
        <w:shd w:val="clear" w:color="auto" w:fill="FFFFFF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El ejemplo más reciente del tema de asociaciones y JOA se ve reflejado en el bloque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Trion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, cuando en julio de 2016 se emitió la primera convocatoria de licitación de asociación. Se buscó atraer a empresas operadoras solventes, con capacidad probada y experiencia en aguas ultra profundas con la finalidad de encontrar un socio para Pemex y forjar una alianza estratégica con esta EPE para que conjuntamente operaran un campo petrolero en estas profundidades marinas.</w:t>
      </w:r>
    </w:p>
    <w:p w:rsidR="000B1F51" w:rsidRPr="000B1F51" w:rsidRDefault="000B1F51" w:rsidP="000B1F51">
      <w:pPr>
        <w:shd w:val="clear" w:color="auto" w:fill="FFFFFF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En el siguiente esquema, detallaremos las características y diferencias entre la migración y la asociación. </w:t>
      </w:r>
    </w:p>
    <w:p w:rsidR="000B1F51" w:rsidRPr="000B1F51" w:rsidRDefault="000B1F51" w:rsidP="000B1F51">
      <w:pPr>
        <w:spacing w:after="0" w:line="39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es-AR"/>
        </w:rPr>
      </w:pPr>
      <w:r w:rsidRPr="000B1F51">
        <w:rPr>
          <w:rFonts w:ascii="inherit" w:eastAsia="Times New Roman" w:hAnsi="inherit" w:cs="Times New Roman"/>
          <w:noProof/>
          <w:color w:val="333333"/>
          <w:sz w:val="24"/>
          <w:szCs w:val="24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https://i1.wp.com/oilandgasmagazine.com.mx/wp-content/uploads/2019/08/%C2%BFQUE%CC%81_SON_LAS_MIGRACIONES__ASOCIACIONES_Y_FARM-OUTS.png?fit=1024%2C586&amp;ssl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EF10E1" id="Rectángulo 1" o:spid="_x0000_s1026" alt="https://i1.wp.com/oilandgasmagazine.com.mx/wp-content/uploads/2019/08/%C2%BFQUE%CC%81_SON_LAS_MIGRACIONES__ASOCIACIONES_Y_FARM-OUTS.png?fit=1024%2C586&amp;ssl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CAPwl8+AwAAYgYAAA4AAAAAAAAAAAAAAAAALgIAAGRycy9lMm9Eb2MueG1sUEsBAi0A&#10;FAAGAAgAAAAhAEyg6SzYAAAAAwEAAA8AAAAAAAAAAAAAAAAAmA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</w:p>
    <w:p w:rsidR="000B1F51" w:rsidRPr="000B1F51" w:rsidRDefault="000B1F51" w:rsidP="000B1F51">
      <w:pPr>
        <w:shd w:val="clear" w:color="auto" w:fill="FFFFFF"/>
        <w:spacing w:after="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0B1F51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es-AR"/>
        </w:rPr>
        <w:t>FUENTES DE CONSULTA:</w:t>
      </w:r>
    </w:p>
    <w:p w:rsidR="000B1F51" w:rsidRPr="000B1F51" w:rsidRDefault="000B1F51" w:rsidP="000B1F51">
      <w:pPr>
        <w:numPr>
          <w:ilvl w:val="0"/>
          <w:numId w:val="1"/>
        </w:numPr>
        <w:shd w:val="clear" w:color="auto" w:fill="FFFFFF"/>
        <w:spacing w:after="120" w:line="390" w:lineRule="atLeast"/>
        <w:ind w:left="-225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lastRenderedPageBreak/>
        <w:t xml:space="preserve">Cfr. </w:t>
      </w:r>
      <w:proofErr w:type="spellStart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Lamanna</w:t>
      </w:r>
      <w:proofErr w:type="spellEnd"/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, Darío G., Aspectos jurídicos y contractuales de la industria petrolera, México, LID, 2017, pp. 59-60.</w:t>
      </w:r>
    </w:p>
    <w:p w:rsidR="000B1F51" w:rsidRPr="000B1F51" w:rsidRDefault="000B1F51" w:rsidP="000B1F51">
      <w:pPr>
        <w:numPr>
          <w:ilvl w:val="0"/>
          <w:numId w:val="1"/>
        </w:numPr>
        <w:shd w:val="clear" w:color="auto" w:fill="FFFFFF"/>
        <w:spacing w:line="390" w:lineRule="atLeast"/>
        <w:ind w:left="-225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Comisión Nacional de Hidrocarburos, </w:t>
      </w:r>
      <w:r w:rsidRPr="000B1F51">
        <w:rPr>
          <w:rFonts w:ascii="inherit" w:eastAsia="Times New Roman" w:hAnsi="inherit" w:cs="Helvetica"/>
          <w:i/>
          <w:iCs/>
          <w:color w:val="333333"/>
          <w:sz w:val="24"/>
          <w:szCs w:val="24"/>
          <w:bdr w:val="none" w:sz="0" w:space="0" w:color="auto" w:frame="1"/>
          <w:lang w:eastAsia="es-AR"/>
        </w:rPr>
        <w:t>Bóveda Digital. Contratos de Asociaciones con Petróleos Mexicanos</w:t>
      </w:r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, recuperado de https://www.gob.mx/cnh/documentos/boveda-digital-contratos-de-asociaciones-con-petroleos-mexicanos, </w:t>
      </w:r>
      <w:r w:rsidRPr="000B1F51">
        <w:rPr>
          <w:rFonts w:ascii="inherit" w:eastAsia="Times New Roman" w:hAnsi="inherit" w:cs="Helvetica"/>
          <w:i/>
          <w:iCs/>
          <w:color w:val="333333"/>
          <w:sz w:val="24"/>
          <w:szCs w:val="24"/>
          <w:bdr w:val="none" w:sz="0" w:space="0" w:color="auto" w:frame="1"/>
          <w:lang w:eastAsia="es-AR"/>
        </w:rPr>
        <w:t>Migraciones sin socio de Petróleos Mexicanos</w:t>
      </w:r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, recuperado de https://www.gob.mx/cnh/documentos/migraciones-petroleos-mexicanos y </w:t>
      </w:r>
      <w:r w:rsidRPr="000B1F51">
        <w:rPr>
          <w:rFonts w:ascii="inherit" w:eastAsia="Times New Roman" w:hAnsi="inherit" w:cs="Helvetica"/>
          <w:i/>
          <w:iCs/>
          <w:color w:val="333333"/>
          <w:sz w:val="24"/>
          <w:szCs w:val="24"/>
          <w:bdr w:val="none" w:sz="0" w:space="0" w:color="auto" w:frame="1"/>
          <w:lang w:eastAsia="es-AR"/>
        </w:rPr>
        <w:t>Migraciones con socio de Petróleos Mexicanos</w:t>
      </w:r>
      <w:r w:rsidRPr="000B1F51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, recuperado de https://www.gob.mx/cnh/documentos/migraciones-con-socio-de-petroleos-mexicanos?idiom=es</w:t>
      </w:r>
    </w:p>
    <w:p w:rsidR="00F23D88" w:rsidRDefault="00F23D88"/>
    <w:sectPr w:rsidR="00F23D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20A3E"/>
    <w:multiLevelType w:val="multilevel"/>
    <w:tmpl w:val="4B4284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51"/>
    <w:rsid w:val="000B1F51"/>
    <w:rsid w:val="00F2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AB6769-95DD-4D8F-B3CE-CD62E334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B1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3">
    <w:name w:val="heading 3"/>
    <w:basedOn w:val="Normal"/>
    <w:link w:val="Ttulo3Car"/>
    <w:uiPriority w:val="9"/>
    <w:qFormat/>
    <w:rsid w:val="000B1F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1F51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0B1F51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metatext">
    <w:name w:val="meta_text"/>
    <w:basedOn w:val="Fuentedeprrafopredeter"/>
    <w:rsid w:val="000B1F51"/>
  </w:style>
  <w:style w:type="character" w:styleId="Hipervnculo">
    <w:name w:val="Hyperlink"/>
    <w:basedOn w:val="Fuentedeprrafopredeter"/>
    <w:uiPriority w:val="99"/>
    <w:semiHidden/>
    <w:unhideWhenUsed/>
    <w:rsid w:val="000B1F51"/>
    <w:rPr>
      <w:color w:val="0000FF"/>
      <w:u w:val="single"/>
    </w:rPr>
  </w:style>
  <w:style w:type="paragraph" w:customStyle="1" w:styleId="wp-caption-text">
    <w:name w:val="wp-caption-text"/>
    <w:basedOn w:val="Normal"/>
    <w:rsid w:val="000B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sharetext">
    <w:name w:val="sharetext"/>
    <w:basedOn w:val="Fuentedeprrafopredeter"/>
    <w:rsid w:val="000B1F51"/>
  </w:style>
  <w:style w:type="paragraph" w:styleId="NormalWeb">
    <w:name w:val="Normal (Web)"/>
    <w:basedOn w:val="Normal"/>
    <w:uiPriority w:val="99"/>
    <w:semiHidden/>
    <w:unhideWhenUsed/>
    <w:rsid w:val="000B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0B1F51"/>
    <w:rPr>
      <w:i/>
      <w:iCs/>
    </w:rPr>
  </w:style>
  <w:style w:type="character" w:styleId="Textoennegrita">
    <w:name w:val="Strong"/>
    <w:basedOn w:val="Fuentedeprrafopredeter"/>
    <w:uiPriority w:val="22"/>
    <w:qFormat/>
    <w:rsid w:val="000B1F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4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13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87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3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083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32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6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3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341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8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1350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9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45486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3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73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5771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6165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2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3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46597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7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65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291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3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1471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144698">
                                          <w:marLeft w:val="0"/>
                                          <w:marRight w:val="0"/>
                                          <w:marTop w:val="12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EEEEEE"/>
                                            <w:right w:val="none" w:sz="0" w:space="0" w:color="auto"/>
                                          </w:divBdr>
                                        </w:div>
                                        <w:div w:id="150103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0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7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33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58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02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21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016003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8869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0.wp.com/oilandgasmagazine.com.mx/wp-content/uploads/2020/05/Depositphotos_7977925_m.jpg?fit=1634%2C1224&amp;ssl=1" TargetMode="External"/><Relationship Id="rId13" Type="http://schemas.openxmlformats.org/officeDocument/2006/relationships/hyperlink" Target="https://api.whatsapp.com/send?text=%C2%BFQu%C3%A9%20son%20las%20migraciones%2C%20asociaciones%20y%20farm-outs%3F%0Ahttps%3A%2F%2Foilandgasmagazine.com.mx%2F2019%2F08%2Fque-son-las-migraciones-asociaciones-y-farm-outs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ilandgasmagazine.com.mx/2019/08/que-son-las-migraciones-asociaciones-y-farm-outs/" TargetMode="External"/><Relationship Id="rId12" Type="http://schemas.openxmlformats.org/officeDocument/2006/relationships/hyperlink" Target="https://www.linkedin.com/shareArticle?url=https%3A%2F%2Foilandgasmagazine.com.mx%2F2019%2F08%2Fque-son-las-migraciones-asociaciones-y-farm-outs%2F&amp;title=%C2%BFQu%C3%A9%20son%20las%20migraciones%2C%20asociaciones%20y%20farm-outs%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landgasmagazine.com.mx/author/oilandgasmagazine/" TargetMode="External"/><Relationship Id="rId11" Type="http://schemas.openxmlformats.org/officeDocument/2006/relationships/hyperlink" Target="https://twitter.com/intent/tweet?text=%C2%BFQu%C3%A9%20son%20las%20migraciones%2C%20asociaciones%20y%20farm-outs%3F%20via%20%40OilGasMagazine&amp;url=https%3A%2F%2Foilandgasmagazine.com.mx%2F2019%2F08%2Fque-son-las-migraciones-asociaciones-y-farm-outs%2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facebook.com/sharer.php?u=https%3A%2F%2Foilandgasmagazine.com.mx%2F2019%2F08%2Fque-son-las-migraciones-asociaciones-y-farm-outs%2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Valcheff Christian Ruben</dc:creator>
  <cp:keywords/>
  <dc:description/>
  <cp:lastModifiedBy>Valcheff Christian Ruben</cp:lastModifiedBy>
  <cp:revision>1</cp:revision>
  <dcterms:created xsi:type="dcterms:W3CDTF">2024-05-23T17:53:00Z</dcterms:created>
  <dcterms:modified xsi:type="dcterms:W3CDTF">2024-05-23T17:54:00Z</dcterms:modified>
</cp:coreProperties>
</file>